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843"/>
        <w:rPr>
          <w:rFonts w:hint="eastAsia"/>
        </w:rPr>
      </w:pPr>
      <w:r>
        <w:rPr>
          <w:rFonts w:hint="eastAsia"/>
        </w:rPr>
      </w:r>
      <w:r/>
    </w:p>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b/>
          <w:bCs/>
          <w:sz w:val="60"/>
          <w:szCs w:val="60"/>
        </w:rPr>
        <w:t xml:space="preserve">竞争性磋商文件示范文本</w:t>
      </w:r>
      <w:r/>
    </w:p>
    <w:p>
      <w:pPr>
        <w:jc w:val="center"/>
        <w:spacing w:line="360" w:lineRule="auto"/>
        <w:rPr>
          <w:rFonts w:ascii="宋体" w:hAnsi="宋体"/>
          <w:b/>
          <w:bCs/>
          <w:sz w:val="60"/>
          <w:szCs w:val="60"/>
        </w:rPr>
      </w:pPr>
      <w:r>
        <w:rPr>
          <w:rFonts w:hint="eastAsia" w:ascii="方正仿宋_GBK" w:hAnsi="方正仿宋_GBK" w:eastAsia="方正仿宋_GBK" w:cs="方正仿宋_GBK"/>
          <w:b/>
          <w:bCs/>
          <w:sz w:val="60"/>
          <w:szCs w:val="60"/>
        </w:rPr>
        <w:t xml:space="preserve">（试行）（2022年版）</w:t>
      </w:r>
      <w:r/>
    </w:p>
    <w:p>
      <w:pPr>
        <w:jc w:val="center"/>
        <w:spacing w:line="360" w:lineRule="auto"/>
        <w:rPr>
          <w:rFonts w:ascii="宋体" w:hAnsi="宋体"/>
          <w:b/>
          <w:bCs/>
          <w:sz w:val="60"/>
          <w:szCs w:val="60"/>
        </w:rPr>
      </w:pPr>
      <w:r>
        <w:rPr>
          <w:rFonts w:ascii="宋体" w:hAnsi="宋体"/>
          <w:b/>
          <w:bCs/>
          <w:sz w:val="60"/>
          <w:szCs w:val="60"/>
        </w:rPr>
      </w:r>
      <w:r/>
    </w:p>
    <w:p>
      <w:pPr>
        <w:jc w:val="left"/>
        <w:spacing w:line="360" w:lineRule="auto"/>
        <w:tabs>
          <w:tab w:val="left" w:pos="5609" w:leader="none"/>
        </w:tabs>
        <w:rPr>
          <w:bCs/>
          <w:sz w:val="36"/>
          <w:szCs w:val="36"/>
        </w:rPr>
      </w:pPr>
      <w:r>
        <w:rPr>
          <w:bCs/>
          <w:sz w:val="36"/>
          <w:szCs w:val="36"/>
        </w:rPr>
        <w:t xml:space="preserve">项目名称：</w:t>
      </w:r>
      <w:r>
        <w:rPr>
          <w:rFonts w:hint="eastAsia"/>
          <w:bCs/>
          <w:sz w:val="36"/>
          <w:szCs w:val="36"/>
          <w:lang w:eastAsia="zh-CN"/>
        </w:rPr>
        <w:t xml:space="preserve">智慧农业产业园温室大棚建设工程</w:t>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w:t>
      </w:r>
      <w:r>
        <w:rPr>
          <w:bCs/>
          <w:sz w:val="36"/>
          <w:szCs w:val="36"/>
          <w:highlight w:val="none"/>
        </w:rPr>
        <w:t xml:space="preserve">号：</w:t>
      </w:r>
      <w:r>
        <w:rPr>
          <w:rFonts w:hint="eastAsia"/>
          <w:bCs/>
          <w:sz w:val="36"/>
          <w:szCs w:val="36"/>
          <w:highlight w:val="none"/>
          <w:lang w:eastAsia="zh-CN"/>
        </w:rPr>
        <w:t xml:space="preserve">JSZC-320481-CZHZ-C2025-0061</w:t>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溧阳市南渡镇人民政府</w:t>
      </w:r>
      <w:r/>
    </w:p>
    <w:p>
      <w:pPr>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江苏恒卓工程管理咨询有限公司</w:t>
      </w:r>
      <w:r/>
    </w:p>
    <w:p>
      <w:pPr>
        <w:jc w:val="left"/>
        <w:widowControl/>
        <w:rPr>
          <w:color w:val="000000"/>
          <w:sz w:val="24"/>
        </w:rPr>
      </w:pPr>
      <w:r>
        <w:rPr>
          <w:b/>
          <w:bCs/>
          <w:sz w:val="44"/>
        </w:rPr>
        <w:br w:type="page" w:clear="all"/>
      </w:r>
      <w:r/>
    </w:p>
    <w:p>
      <w:pPr>
        <w:pStyle w:val="1207"/>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08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81"/>
        <w:rPr>
          <w:rFonts w:ascii="Calibri" w:hAnsi="Calibri"/>
          <w:b w:val="0"/>
          <w:sz w:val="21"/>
          <w:szCs w:val="22"/>
        </w:rPr>
      </w:pPr>
      <w:r>
        <w:rPr>
          <w:rStyle w:val="1105"/>
        </w:rPr>
        <w:fldChar w:fldCharType="begin"/>
      </w:r>
      <w:r>
        <w:rPr>
          <w:rStyle w:val="1105"/>
        </w:rPr>
        <w:instrText xml:space="preserve"> </w:instrText>
      </w:r>
      <w:r>
        <w:instrText xml:space="preserve">HYPERLINK \l "_Toc104818925"</w:instrText>
      </w:r>
      <w:r>
        <w:rPr>
          <w:rStyle w:val="1105"/>
        </w:rPr>
        <w:instrText xml:space="preserve"> </w:instrText>
      </w:r>
      <w:r>
        <w:rPr>
          <w:rStyle w:val="1105"/>
        </w:rPr>
        <w:fldChar w:fldCharType="separate"/>
      </w:r>
      <w:r>
        <w:rPr>
          <w:rStyle w:val="1105"/>
          <w:rFonts w:hint="eastAsia"/>
        </w:rPr>
        <w:t xml:space="preserve">第一章</w:t>
      </w:r>
      <w:r>
        <w:rPr>
          <w:rStyle w:val="1105"/>
        </w:rPr>
        <w:t xml:space="preserve">   </w:t>
      </w:r>
      <w:r>
        <w:rPr>
          <w:rStyle w:val="1105"/>
          <w:rFonts w:hint="eastAsia"/>
        </w:rPr>
        <w:t xml:space="preserve">采购邀请</w:t>
      </w:r>
      <w:r>
        <w:rPr>
          <w:rStyle w:val="1105"/>
        </w:rPr>
        <w:fldChar w:fldCharType="end"/>
      </w:r>
      <w:r/>
    </w:p>
    <w:p>
      <w:pPr>
        <w:pStyle w:val="1081"/>
        <w:rPr>
          <w:rFonts w:ascii="Calibri" w:hAnsi="Calibri"/>
          <w:b w:val="0"/>
          <w:sz w:val="21"/>
          <w:szCs w:val="22"/>
        </w:rPr>
      </w:pPr>
      <w:r>
        <w:rPr>
          <w:rStyle w:val="1105"/>
        </w:rPr>
        <w:fldChar w:fldCharType="begin"/>
      </w:r>
      <w:r>
        <w:rPr>
          <w:rStyle w:val="1105"/>
        </w:rPr>
        <w:instrText xml:space="preserve"> </w:instrText>
      </w:r>
      <w:r>
        <w:instrText xml:space="preserve">HYPERLINK \l "_Toc104818926"</w:instrText>
      </w:r>
      <w:r>
        <w:rPr>
          <w:rStyle w:val="1105"/>
        </w:rPr>
        <w:instrText xml:space="preserve"> </w:instrText>
      </w:r>
      <w:r>
        <w:rPr>
          <w:rStyle w:val="1105"/>
        </w:rPr>
        <w:fldChar w:fldCharType="separate"/>
      </w:r>
      <w:r>
        <w:rPr>
          <w:rStyle w:val="1105"/>
          <w:rFonts w:hint="eastAsia"/>
        </w:rPr>
        <w:t xml:space="preserve">第二章</w:t>
      </w:r>
      <w:r>
        <w:rPr>
          <w:rStyle w:val="1105"/>
        </w:rPr>
        <w:t xml:space="preserve">   </w:t>
      </w:r>
      <w:r>
        <w:rPr>
          <w:rStyle w:val="1105"/>
          <w:rFonts w:hint="eastAsia"/>
        </w:rPr>
        <w:t xml:space="preserve">供应商须知</w:t>
      </w:r>
      <w:r>
        <w:rPr>
          <w:rStyle w:val="1105"/>
        </w:rPr>
        <w:fldChar w:fldCharType="end"/>
      </w:r>
      <w:r/>
    </w:p>
    <w:p>
      <w:pPr>
        <w:pStyle w:val="1081"/>
        <w:rPr>
          <w:rFonts w:ascii="Calibri" w:hAnsi="Calibri"/>
          <w:b w:val="0"/>
          <w:sz w:val="21"/>
          <w:szCs w:val="22"/>
        </w:rPr>
      </w:pPr>
      <w:r>
        <w:rPr>
          <w:rStyle w:val="1105"/>
        </w:rPr>
        <w:fldChar w:fldCharType="begin"/>
      </w:r>
      <w:r>
        <w:rPr>
          <w:rStyle w:val="1105"/>
        </w:rPr>
        <w:instrText xml:space="preserve"> </w:instrText>
      </w:r>
      <w:r>
        <w:instrText xml:space="preserve">HYPERLINK \l "_Toc104818927"</w:instrText>
      </w:r>
      <w:r>
        <w:rPr>
          <w:rStyle w:val="1105"/>
        </w:rPr>
        <w:instrText xml:space="preserve"> </w:instrText>
      </w:r>
      <w:r>
        <w:rPr>
          <w:rStyle w:val="1105"/>
        </w:rPr>
        <w:fldChar w:fldCharType="separate"/>
      </w:r>
      <w:r>
        <w:rPr>
          <w:rStyle w:val="1105"/>
          <w:rFonts w:hint="eastAsia"/>
        </w:rPr>
        <w:t xml:space="preserve">第三章</w:t>
      </w:r>
      <w:r>
        <w:rPr>
          <w:rStyle w:val="1105"/>
        </w:rPr>
        <w:t xml:space="preserve">   </w:t>
      </w:r>
      <w:r>
        <w:rPr>
          <w:rStyle w:val="1105"/>
          <w:rFonts w:hint="eastAsia"/>
        </w:rPr>
        <w:t xml:space="preserve">评审程序、评审方法和评审标准</w:t>
      </w:r>
      <w:r>
        <w:rPr>
          <w:rStyle w:val="1105"/>
        </w:rPr>
        <w:fldChar w:fldCharType="end"/>
      </w:r>
      <w:r/>
    </w:p>
    <w:p>
      <w:pPr>
        <w:pStyle w:val="1081"/>
        <w:rPr>
          <w:rFonts w:ascii="Calibri" w:hAnsi="Calibri"/>
          <w:b w:val="0"/>
          <w:sz w:val="21"/>
          <w:szCs w:val="22"/>
        </w:rPr>
      </w:pPr>
      <w:r>
        <w:rPr>
          <w:rStyle w:val="1105"/>
        </w:rPr>
        <w:fldChar w:fldCharType="begin"/>
      </w:r>
      <w:r>
        <w:rPr>
          <w:rStyle w:val="1105"/>
        </w:rPr>
        <w:instrText xml:space="preserve"> </w:instrText>
      </w:r>
      <w:r>
        <w:instrText xml:space="preserve">HYPERLINK \l "_Toc104818928"</w:instrText>
      </w:r>
      <w:r>
        <w:rPr>
          <w:rStyle w:val="1105"/>
        </w:rPr>
        <w:instrText xml:space="preserve"> </w:instrText>
      </w:r>
      <w:r>
        <w:rPr>
          <w:rStyle w:val="1105"/>
        </w:rPr>
        <w:fldChar w:fldCharType="separate"/>
      </w:r>
      <w:r>
        <w:rPr>
          <w:rStyle w:val="1105"/>
          <w:rFonts w:hint="eastAsia"/>
        </w:rPr>
        <w:t xml:space="preserve">第四章</w:t>
      </w:r>
      <w:r>
        <w:rPr>
          <w:rStyle w:val="1105"/>
        </w:rPr>
        <w:t xml:space="preserve">   </w:t>
      </w:r>
      <w:r>
        <w:rPr>
          <w:rStyle w:val="1105"/>
          <w:rFonts w:hint="eastAsia"/>
        </w:rPr>
        <w:t xml:space="preserve">采购需求</w:t>
      </w:r>
      <w:r>
        <w:rPr>
          <w:rStyle w:val="1105"/>
        </w:rPr>
        <w:fldChar w:fldCharType="end"/>
      </w:r>
      <w:r/>
    </w:p>
    <w:p>
      <w:pPr>
        <w:pStyle w:val="1081"/>
        <w:rPr>
          <w:rFonts w:ascii="Calibri" w:hAnsi="Calibri"/>
          <w:b w:val="0"/>
          <w:sz w:val="21"/>
          <w:szCs w:val="22"/>
        </w:rPr>
      </w:pPr>
      <w:r>
        <w:rPr>
          <w:rStyle w:val="1105"/>
        </w:rPr>
        <w:fldChar w:fldCharType="begin"/>
      </w:r>
      <w:r>
        <w:rPr>
          <w:rStyle w:val="1105"/>
        </w:rPr>
        <w:instrText xml:space="preserve"> </w:instrText>
      </w:r>
      <w:r>
        <w:instrText xml:space="preserve">HYPERLINK \l "_Toc104818929"</w:instrText>
      </w:r>
      <w:r>
        <w:rPr>
          <w:rStyle w:val="1105"/>
        </w:rPr>
        <w:instrText xml:space="preserve"> </w:instrText>
      </w:r>
      <w:r>
        <w:rPr>
          <w:rStyle w:val="1105"/>
        </w:rPr>
        <w:fldChar w:fldCharType="separate"/>
      </w:r>
      <w:r>
        <w:rPr>
          <w:rStyle w:val="1105"/>
          <w:rFonts w:hint="eastAsia"/>
        </w:rPr>
        <w:t xml:space="preserve">第五章</w:t>
      </w:r>
      <w:r>
        <w:rPr>
          <w:rStyle w:val="1105"/>
        </w:rPr>
        <w:t xml:space="preserve">   </w:t>
      </w:r>
      <w:r>
        <w:rPr>
          <w:rStyle w:val="1105"/>
          <w:rFonts w:hint="eastAsia"/>
        </w:rPr>
        <w:t xml:space="preserve">合同草案条款</w:t>
      </w:r>
      <w:r>
        <w:rPr>
          <w:rStyle w:val="1105"/>
        </w:rPr>
        <w:fldChar w:fldCharType="end"/>
      </w:r>
      <w:r/>
    </w:p>
    <w:p>
      <w:pPr>
        <w:pStyle w:val="1081"/>
        <w:rPr>
          <w:rFonts w:ascii="Calibri" w:hAnsi="Calibri"/>
          <w:b w:val="0"/>
          <w:sz w:val="21"/>
          <w:szCs w:val="22"/>
        </w:rPr>
      </w:pPr>
      <w:r>
        <w:rPr>
          <w:rStyle w:val="1105"/>
        </w:rPr>
        <w:fldChar w:fldCharType="begin"/>
      </w:r>
      <w:r>
        <w:rPr>
          <w:rStyle w:val="1105"/>
        </w:rPr>
        <w:instrText xml:space="preserve"> </w:instrText>
      </w:r>
      <w:r>
        <w:instrText xml:space="preserve">HYPERLINK \l "_Toc104818930"</w:instrText>
      </w:r>
      <w:r>
        <w:rPr>
          <w:rStyle w:val="1105"/>
        </w:rPr>
        <w:instrText xml:space="preserve"> </w:instrText>
      </w:r>
      <w:r>
        <w:rPr>
          <w:rStyle w:val="1105"/>
        </w:rPr>
        <w:fldChar w:fldCharType="separate"/>
      </w:r>
      <w:r>
        <w:rPr>
          <w:rStyle w:val="1105"/>
          <w:rFonts w:hint="eastAsia"/>
        </w:rPr>
        <w:t xml:space="preserve">第六章</w:t>
      </w:r>
      <w:r>
        <w:rPr>
          <w:rStyle w:val="1105"/>
        </w:rPr>
        <w:t xml:space="preserve">   </w:t>
      </w:r>
      <w:r>
        <w:rPr>
          <w:rStyle w:val="1105"/>
          <w:rFonts w:hint="eastAsia"/>
        </w:rPr>
        <w:t xml:space="preserve">响应文件格式</w:t>
      </w:r>
      <w:r>
        <w:rPr>
          <w:rStyle w:val="1105"/>
        </w:rPr>
        <w:fldChar w:fldCharType="end"/>
      </w:r>
      <w:r/>
    </w:p>
    <w:p>
      <w:pPr>
        <w:pStyle w:val="1081"/>
        <w:spacing w:line="360" w:lineRule="auto"/>
        <w:rPr>
          <w:rFonts w:ascii="Times New Roman" w:hAnsi="Times New Roman"/>
          <w:b w:val="0"/>
        </w:rPr>
      </w:pPr>
      <w:r>
        <w:rPr>
          <w:rFonts w:ascii="Times New Roman" w:hAnsi="Times New Roman"/>
          <w:b w:val="0"/>
        </w:rPr>
        <w:fldChar w:fldCharType="end"/>
      </w:r>
      <w:r/>
    </w:p>
    <w:p>
      <w:pPr>
        <w:pStyle w:val="1081"/>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40" w:right="1287" w:bottom="1440" w:left="1800" w:header="851" w:footer="851" w:gutter="0"/>
          <w:pgNumType w:start="1"/>
          <w:cols w:num="1" w:sep="0" w:space="1701" w:equalWidth="1"/>
          <w:docGrid w:linePitch="360"/>
          <w:titlePg/>
        </w:sectPr>
        <w:outlineLvl w:val="0"/>
      </w:pPr>
      <w:r>
        <w:rPr>
          <w:b/>
          <w:sz w:val="36"/>
          <w:szCs w:val="36"/>
        </w:rPr>
        <w:br w:type="page" w:clear="all"/>
      </w:r>
      <w:r/>
    </w:p>
    <w:p>
      <w:pPr>
        <w:jc w:val="center"/>
        <w:spacing w:line="360" w:lineRule="auto"/>
        <w:rPr>
          <w:sz w:val="24"/>
        </w:rPr>
        <w:outlineLvl w:val="0"/>
      </w:pPr>
      <w:r/>
      <w:bookmarkStart w:id="1" w:name="_Toc104818925"/>
      <w:r>
        <w:rPr>
          <w:b/>
          <w:sz w:val="36"/>
          <w:szCs w:val="36"/>
        </w:rPr>
        <w:t xml:space="preserve">第一章   采购邀请</w:t>
      </w:r>
      <w:bookmarkEnd w:id="1"/>
      <w:r/>
      <w:bookmarkStart w:id="2" w:name="_Toc35393790"/>
      <w:r/>
      <w:bookmarkStart w:id="3" w:name="_Toc35393621"/>
      <w:r/>
      <w:bookmarkStart w:id="4" w:name="_Toc28359002"/>
      <w:r/>
      <w:bookmarkStart w:id="5" w:name="_Toc28359079"/>
      <w:r/>
      <w:bookmarkStart w:id="6" w:name="_Hlk24379207"/>
      <w:r/>
      <w:r/>
    </w:p>
    <w:p>
      <w:pPr>
        <w:pStyle w:val="1031"/>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sz w:val="24"/>
          <w:highlight w:val="none"/>
        </w:rPr>
      </w:pPr>
      <w:r>
        <w:rPr>
          <w:sz w:val="24"/>
          <w:highlight w:val="none"/>
        </w:rPr>
        <w:t xml:space="preserve">1.项目编号：</w:t>
      </w:r>
      <w:r>
        <w:rPr>
          <w:rFonts w:hint="eastAsia"/>
          <w:sz w:val="24"/>
          <w:highlight w:val="none"/>
          <w:lang w:eastAsia="zh-CN"/>
        </w:rPr>
        <w:t xml:space="preserve">JSZC-320481-CZHZ-C2025-0061</w:t>
      </w:r>
      <w:r/>
    </w:p>
    <w:p>
      <w:pPr>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智慧农业产业园温室大棚建设工程</w:t>
      </w:r>
      <w:r/>
    </w:p>
    <w:p>
      <w:pPr>
        <w:ind w:firstLine="480"/>
        <w:spacing w:line="360" w:lineRule="auto"/>
        <w:rPr>
          <w:sz w:val="24"/>
          <w:highlight w:val="none"/>
        </w:rPr>
      </w:pPr>
      <w:r>
        <w:rPr>
          <w:sz w:val="24"/>
          <w:highlight w:val="none"/>
        </w:rPr>
        <w:t xml:space="preserve">3.采购方式：竞争性磋商</w:t>
      </w:r>
      <w:bookmarkEnd w:id="6"/>
      <w:r/>
    </w:p>
    <w:p>
      <w:pPr>
        <w:ind w:firstLine="480"/>
        <w:spacing w:line="360" w:lineRule="auto"/>
        <w:rPr>
          <w:rFonts w:ascii="Times New Roman" w:hAnsi="Times New Roman" w:eastAsia="宋体" w:cs="Times New Roman"/>
          <w:sz w:val="24"/>
          <w:highlight w:val="none"/>
        </w:rPr>
      </w:pPr>
      <w:r>
        <w:rPr>
          <w:sz w:val="24"/>
          <w:highlight w:val="none"/>
        </w:rPr>
        <w:t xml:space="preserve">4.项目预算金额</w:t>
      </w:r>
      <w:r>
        <w:rPr>
          <w:rFonts w:ascii="Times New Roman" w:hAnsi="Times New Roman" w:eastAsia="宋体" w:cs="Times New Roman"/>
          <w:sz w:val="24"/>
          <w:highlight w:val="none"/>
        </w:rPr>
        <w:t xml:space="preserve">：</w:t>
      </w:r>
      <w:r>
        <w:rPr>
          <w:rFonts w:hint="eastAsia" w:cs="Times New Roman"/>
          <w:sz w:val="24"/>
          <w:highlight w:val="none"/>
          <w:lang w:val="en-US" w:eastAsia="zh-CN"/>
        </w:rPr>
        <w:t xml:space="preserve">3975000</w:t>
      </w:r>
      <w:r>
        <w:rPr>
          <w:rFonts w:hint="eastAsia" w:ascii="Times New Roman" w:hAnsi="Times New Roman" w:eastAsia="宋体" w:cs="Times New Roman"/>
          <w:sz w:val="24"/>
          <w:highlight w:val="none"/>
          <w:lang w:val="en-US" w:eastAsia="zh-CN"/>
        </w:rPr>
        <w:t xml:space="preserve">元</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项目最高限价：</w:t>
      </w:r>
      <w:r>
        <w:rPr>
          <w:rFonts w:hint="eastAsia" w:ascii="Times New Roman" w:hAnsi="Times New Roman" w:eastAsia="宋体" w:cs="Times New Roman"/>
          <w:sz w:val="24"/>
          <w:highlight w:val="none"/>
        </w:rPr>
        <w:t xml:space="preserve">3755948.58元</w:t>
      </w:r>
      <w:r/>
    </w:p>
    <w:p>
      <w:pPr>
        <w:ind w:firstLine="480"/>
        <w:spacing w:line="360" w:lineRule="auto"/>
        <w:rPr>
          <w:sz w:val="24"/>
        </w:rPr>
      </w:pPr>
      <w:r>
        <w:rPr>
          <w:rFonts w:hint="eastAsia"/>
          <w:sz w:val="24"/>
          <w:lang w:val="en-US" w:eastAsia="zh-CN"/>
        </w:rPr>
        <w:t xml:space="preserve">6</w:t>
      </w:r>
      <w:r>
        <w:rPr>
          <w:sz w:val="24"/>
        </w:rPr>
        <w:t xml:space="preserve">.采购需求：</w:t>
      </w:r>
      <w:r/>
    </w:p>
    <w:tbl>
      <w:tblPr>
        <w:tblStyle w:val="852"/>
        <w:tblW w:w="497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2618"/>
        <w:gridCol w:w="1953"/>
        <w:gridCol w:w="670"/>
        <w:gridCol w:w="2575"/>
      </w:tblGrid>
      <w:tr>
        <w:trPr>
          <w:trHeight w:val="454"/>
        </w:trPr>
        <w:tc>
          <w:tcPr>
            <w:tcW w:w="658"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包号</w:t>
            </w:r>
            <w:r/>
          </w:p>
        </w:tc>
        <w:tc>
          <w:tcPr>
            <w:tcW w:w="2618"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标的名称</w:t>
            </w:r>
            <w:r/>
          </w:p>
        </w:tc>
        <w:tc>
          <w:tcPr>
            <w:tcW w:w="1953"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采购包预算金额</w:t>
            </w:r>
            <w:r/>
          </w:p>
          <w:p>
            <w:pPr>
              <w:jc w:val="center"/>
              <w:rPr>
                <w:rFonts w:hint="eastAsia"/>
                <w:sz w:val="24"/>
                <w:highlight w:val="none"/>
                <w:lang w:eastAsia="zh-CN"/>
              </w:rPr>
            </w:pPr>
            <w:r>
              <w:rPr>
                <w:rFonts w:hint="eastAsia"/>
                <w:sz w:val="24"/>
                <w:highlight w:val="none"/>
                <w:lang w:eastAsia="zh-CN"/>
              </w:rPr>
              <w:t xml:space="preserve">（元）</w:t>
            </w:r>
            <w:r/>
          </w:p>
        </w:tc>
        <w:tc>
          <w:tcPr>
            <w:tcW w:w="670"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数量</w:t>
            </w:r>
            <w:r/>
          </w:p>
        </w:tc>
        <w:tc>
          <w:tcPr>
            <w:tcW w:w="2575"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简要技</w:t>
            </w:r>
            <w:r/>
          </w:p>
          <w:p>
            <w:pPr>
              <w:jc w:val="center"/>
              <w:rPr>
                <w:rFonts w:hint="eastAsia"/>
                <w:sz w:val="24"/>
                <w:highlight w:val="none"/>
                <w:lang w:eastAsia="zh-CN"/>
              </w:rPr>
            </w:pPr>
            <w:r>
              <w:rPr>
                <w:rFonts w:hint="eastAsia"/>
                <w:sz w:val="24"/>
                <w:highlight w:val="none"/>
                <w:lang w:eastAsia="zh-CN"/>
              </w:rPr>
              <w:t xml:space="preserve">术需求或服务要求</w:t>
            </w:r>
            <w:r/>
          </w:p>
        </w:tc>
      </w:tr>
      <w:tr>
        <w:trPr>
          <w:trHeight w:val="454"/>
        </w:trPr>
        <w:tc>
          <w:tcPr>
            <w:tcW w:w="658"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01</w:t>
            </w:r>
            <w:r/>
          </w:p>
        </w:tc>
        <w:tc>
          <w:tcPr>
            <w:tcW w:w="2618"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智慧农业产业园温室大棚建设工程</w:t>
            </w:r>
            <w:r/>
          </w:p>
        </w:tc>
        <w:tc>
          <w:tcPr>
            <w:tcW w:w="1953" w:type="dxa"/>
            <w:vAlign w:val="center"/>
            <w:textDirection w:val="lrTb"/>
            <w:noWrap w:val="false"/>
          </w:tcPr>
          <w:p>
            <w:pPr>
              <w:jc w:val="center"/>
              <w:rPr>
                <w:rFonts w:hint="default"/>
                <w:sz w:val="24"/>
                <w:highlight w:val="none"/>
                <w:lang w:val="en-US" w:eastAsia="zh-CN"/>
              </w:rPr>
            </w:pPr>
            <w:r>
              <w:rPr>
                <w:rFonts w:hint="eastAsia" w:cs="Times New Roman"/>
                <w:sz w:val="24"/>
                <w:highlight w:val="none"/>
                <w:lang w:val="en-US" w:eastAsia="zh-CN"/>
              </w:rPr>
              <w:t xml:space="preserve">3975000</w:t>
            </w:r>
            <w:r/>
          </w:p>
        </w:tc>
        <w:tc>
          <w:tcPr>
            <w:tcW w:w="670" w:type="dxa"/>
            <w:vAlign w:val="center"/>
            <w:textDirection w:val="lrTb"/>
            <w:noWrap w:val="false"/>
          </w:tcPr>
          <w:p>
            <w:pPr>
              <w:jc w:val="center"/>
              <w:rPr>
                <w:rFonts w:hint="eastAsia"/>
                <w:sz w:val="24"/>
                <w:highlight w:val="none"/>
                <w:lang w:val="en-US" w:eastAsia="zh-CN"/>
              </w:rPr>
            </w:pPr>
            <w:r>
              <w:rPr>
                <w:rFonts w:hint="eastAsia"/>
                <w:sz w:val="24"/>
                <w:highlight w:val="none"/>
                <w:lang w:val="en-US" w:eastAsia="zh-CN"/>
              </w:rPr>
              <w:t xml:space="preserve">1</w:t>
            </w:r>
            <w:r/>
          </w:p>
        </w:tc>
        <w:tc>
          <w:tcPr>
            <w:tcW w:w="2575" w:type="dxa"/>
            <w:vAlign w:val="center"/>
            <w:textDirection w:val="lrTb"/>
            <w:noWrap w:val="false"/>
          </w:tcPr>
          <w:p>
            <w:pPr>
              <w:jc w:val="center"/>
              <w:rPr>
                <w:rFonts w:hint="eastAsia"/>
                <w:sz w:val="24"/>
                <w:highlight w:val="none"/>
                <w:lang w:eastAsia="zh-CN"/>
              </w:rPr>
            </w:pPr>
            <w:r>
              <w:rPr>
                <w:rFonts w:hint="eastAsia"/>
                <w:sz w:val="24"/>
                <w:highlight w:val="none"/>
                <w:lang w:eastAsia="zh-CN"/>
              </w:rPr>
              <w:t xml:space="preserve">图纸及工程量清单范围内所有内容</w:t>
            </w:r>
            <w:r/>
          </w:p>
        </w:tc>
      </w:tr>
    </w:tbl>
    <w:p>
      <w:pPr>
        <w:spacing w:line="360" w:lineRule="auto"/>
        <w:rPr>
          <w:sz w:val="24"/>
        </w:rPr>
      </w:pPr>
      <w:r>
        <w:rPr>
          <w:sz w:val="24"/>
        </w:rPr>
      </w:r>
      <w:r/>
    </w:p>
    <w:p>
      <w:pPr>
        <w:ind w:firstLine="480"/>
        <w:spacing w:line="360" w:lineRule="auto"/>
        <w:rPr>
          <w:rFonts w:hint="default" w:eastAsia="宋体"/>
          <w:sz w:val="24"/>
          <w:highlight w:val="none"/>
          <w:u w:val="single"/>
          <w:lang w:val="en-US" w:eastAsia="zh-CN"/>
        </w:rPr>
      </w:pPr>
      <w:r>
        <w:rPr>
          <w:rFonts w:hint="eastAsia"/>
          <w:sz w:val="24"/>
          <w:highlight w:val="none"/>
          <w:lang w:val="en-US" w:eastAsia="zh-CN"/>
        </w:rPr>
        <w:t xml:space="preserve">7</w:t>
      </w:r>
      <w:r>
        <w:rPr>
          <w:sz w:val="24"/>
          <w:highlight w:val="none"/>
        </w:rPr>
        <w:t xml:space="preserve">.合同履行期限：</w:t>
      </w:r>
      <w:r>
        <w:rPr>
          <w:rFonts w:hint="eastAsia"/>
          <w:sz w:val="24"/>
          <w:highlight w:val="none"/>
          <w:lang w:val="en-US" w:eastAsia="zh-CN"/>
        </w:rPr>
        <w:t xml:space="preserve">90日历天</w:t>
      </w:r>
      <w:r/>
    </w:p>
    <w:p>
      <w:pPr>
        <w:ind w:firstLine="480"/>
        <w:spacing w:line="360" w:lineRule="auto"/>
        <w:rPr>
          <w:sz w:val="24"/>
        </w:rPr>
      </w:pPr>
      <w:r>
        <w:rPr>
          <w:rFonts w:hint="eastAsia"/>
          <w:sz w:val="24"/>
          <w:lang w:val="en-US" w:eastAsia="zh-CN"/>
        </w:rPr>
        <w:t xml:space="preserve">8</w:t>
      </w:r>
      <w:r>
        <w:rPr>
          <w:sz w:val="24"/>
        </w:rPr>
        <w:t xml:space="preserve">.本项目是否接受联合体：否。</w:t>
      </w:r>
      <w:r/>
    </w:p>
    <w:p>
      <w:pPr>
        <w:ind w:firstLine="480"/>
        <w:spacing w:line="360" w:lineRule="auto"/>
        <w:rPr>
          <w:sz w:val="24"/>
        </w:rPr>
      </w:pPr>
      <w:r/>
      <w:bookmarkStart w:id="7" w:name="_Toc28359003"/>
      <w:r/>
      <w:bookmarkStart w:id="8" w:name="_Toc35393622"/>
      <w:r/>
      <w:bookmarkStart w:id="9" w:name="_Toc28359080"/>
      <w:r/>
      <w:bookmarkStart w:id="10" w:name="_Toc35393791"/>
      <w:r>
        <w:rPr>
          <w:rFonts w:hint="eastAsia"/>
          <w:sz w:val="24"/>
          <w:lang w:val="en-US" w:eastAsia="zh-CN"/>
        </w:rPr>
        <w:t xml:space="preserve">9</w:t>
      </w:r>
      <w:r>
        <w:rPr>
          <w:rFonts w:hint="eastAsia"/>
          <w:sz w:val="24"/>
        </w:rPr>
        <w:t xml:space="preserve">.</w:t>
      </w:r>
      <w:r>
        <w:rPr>
          <w:sz w:val="24"/>
        </w:rPr>
        <w:t xml:space="preserve">本项目是否接受</w:t>
      </w:r>
      <w:r>
        <w:rPr>
          <w:rFonts w:hint="eastAsia"/>
          <w:sz w:val="24"/>
        </w:rPr>
        <w:t xml:space="preserve">进口产品响应</w:t>
      </w:r>
      <w:r>
        <w:rPr>
          <w:sz w:val="24"/>
        </w:rPr>
        <w:t xml:space="preserve">：否。</w:t>
      </w:r>
      <w:r/>
    </w:p>
    <w:p>
      <w:pPr>
        <w:pStyle w:val="1031"/>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rFonts w:hint="eastAsia"/>
          <w:sz w:val="24"/>
        </w:rPr>
      </w:pPr>
      <w:r/>
      <w:bookmarkStart w:id="11" w:name="_Toc28359004"/>
      <w:r/>
      <w:bookmarkStart w:id="12" w:name="_Toc28359081"/>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2"/>
        <w:spacing w:line="360" w:lineRule="auto"/>
        <w:rPr>
          <w:sz w:val="24"/>
        </w:rPr>
      </w:pPr>
      <w:r>
        <w:rPr>
          <w:b/>
          <w:bCs/>
          <w:sz w:val="24"/>
        </w:rPr>
        <w:t xml:space="preserve">本项目专门面向  中小企业  采购。</w:t>
      </w:r>
      <w:r>
        <w:rPr>
          <w:sz w:val="24"/>
        </w:rPr>
        <w:t xml:space="preserve">即：提供的货物全部由符合政策要求的中小企业制造、服务全部由符合政策要求的中小企业承接。</w:t>
      </w:r>
      <w:r/>
    </w:p>
    <w:p>
      <w:pPr>
        <w:ind w:firstLine="480"/>
        <w:spacing w:line="360" w:lineRule="auto"/>
        <w:rPr>
          <w:sz w:val="24"/>
        </w:rPr>
      </w:pPr>
      <w:r>
        <w:rPr>
          <w:sz w:val="24"/>
        </w:rPr>
        <w:t xml:space="preserve">2.2 其它落实政府采购政策的资格要求（如有）：</w:t>
      </w:r>
      <w:r>
        <w:rPr>
          <w:rFonts w:hint="eastAsia"/>
          <w:sz w:val="24"/>
          <w:lang w:val="en-US" w:eastAsia="zh-CN"/>
        </w:rPr>
        <w:t xml:space="preserve">/</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本项目是否属于政府购买服务：否</w:t>
      </w:r>
      <w:r/>
    </w:p>
    <w:p>
      <w:pPr>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3.3其他特定资格要求：</w:t>
      </w:r>
      <w:bookmarkEnd w:id="11"/>
      <w:bookmarkEnd w:id="12"/>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bookmarkStart w:id="13" w:name="_Toc35393623"/>
      <w:r/>
      <w:bookmarkStart w:id="14" w:name="_Toc35393792"/>
      <w:r>
        <w:rPr>
          <w:rFonts w:hint="eastAsia" w:ascii="Times New Roman" w:hAnsi="Times New Roman" w:eastAsia="宋体" w:cs="Times New Roman"/>
          <w:sz w:val="24"/>
          <w:highlight w:val="none"/>
        </w:rPr>
        <w:t xml:space="preserve">（1）供应商具有有效期内</w:t>
      </w:r>
      <w:r>
        <w:rPr>
          <w:rFonts w:hint="eastAsia" w:ascii="Times New Roman" w:hAnsi="Times New Roman" w:eastAsia="宋体" w:cs="Times New Roman"/>
          <w:sz w:val="24"/>
          <w:highlight w:val="none"/>
          <w:lang w:eastAsia="zh-CN"/>
        </w:rPr>
        <w:t xml:space="preserve">的</w:t>
      </w:r>
      <w:r>
        <w:rPr>
          <w:rFonts w:hint="eastAsia" w:cs="Times New Roman"/>
          <w:sz w:val="24"/>
          <w:highlight w:val="none"/>
          <w:lang w:eastAsia="zh-CN"/>
        </w:rPr>
        <w:t xml:space="preserve">建筑工程施工总承包叁级</w:t>
      </w:r>
      <w:r>
        <w:rPr>
          <w:rFonts w:hint="eastAsia" w:ascii="Times New Roman" w:hAnsi="Times New Roman" w:eastAsia="宋体" w:cs="Times New Roman"/>
          <w:sz w:val="24"/>
          <w:highlight w:val="none"/>
          <w:lang w:eastAsia="zh-CN"/>
        </w:rPr>
        <w:t xml:space="preserve">及以上</w:t>
      </w:r>
      <w:r>
        <w:rPr>
          <w:rFonts w:hint="eastAsia" w:ascii="Times New Roman" w:hAnsi="Times New Roman" w:eastAsia="宋体" w:cs="Times New Roman"/>
          <w:sz w:val="24"/>
          <w:highlight w:val="none"/>
          <w:lang w:val="en-US" w:eastAsia="zh-CN"/>
        </w:rPr>
        <w:t xml:space="preserve">资质</w:t>
      </w:r>
      <w:r>
        <w:rPr>
          <w:rFonts w:hint="eastAsia" w:ascii="Times New Roman" w:hAnsi="Times New Roman" w:eastAsia="宋体" w:cs="Times New Roman"/>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）供应商具有有效期内的企业安全生产许可证证书；</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yellow"/>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w:t>
      </w:r>
      <w:r>
        <w:rPr>
          <w:rFonts w:hint="eastAsia" w:eastAsia="宋体" w:cs="Times New Roman"/>
          <w:sz w:val="24"/>
          <w:highlight w:val="none"/>
          <w:lang w:eastAsia="zh-CN"/>
        </w:rPr>
        <w:t xml:space="preserve">项目负责人具有注册建造师</w:t>
      </w:r>
      <w:r>
        <w:rPr>
          <w:rFonts w:hint="eastAsia" w:cs="Times New Roman"/>
          <w:sz w:val="24"/>
          <w:highlight w:val="none"/>
          <w:lang w:eastAsia="zh-CN"/>
        </w:rPr>
        <w:t xml:space="preserve">建筑工程专业贰级</w:t>
      </w:r>
      <w:r>
        <w:rPr>
          <w:rFonts w:hint="eastAsia" w:eastAsia="宋体" w:cs="Times New Roman"/>
          <w:sz w:val="24"/>
          <w:highlight w:val="none"/>
          <w:lang w:eastAsia="zh-CN"/>
        </w:rPr>
        <w:t xml:space="preserve">及以上，</w:t>
      </w:r>
      <w:r>
        <w:rPr>
          <w:rFonts w:hint="eastAsia" w:ascii="Times New Roman" w:hAnsi="Times New Roman" w:eastAsia="宋体" w:cs="Times New Roman"/>
          <w:sz w:val="24"/>
          <w:highlight w:val="none"/>
        </w:rPr>
        <w:t xml:space="preserve">同时具有建设行政主管部门核发的安全生产考核合格证（B 证），证书均在有效期内</w:t>
      </w:r>
      <w:r>
        <w:rPr>
          <w:rFonts w:hint="eastAsia" w:eastAsia="宋体" w:cs="Times New Roman"/>
          <w:sz w:val="24"/>
          <w:highlight w:val="none"/>
          <w:lang w:eastAsia="zh-CN"/>
        </w:rPr>
        <w:t xml:space="preserve">；</w:t>
      </w:r>
      <w:r/>
    </w:p>
    <w:p>
      <w:pPr>
        <w:ind w:firstLine="482"/>
        <w:spacing w:line="360" w:lineRule="auto"/>
        <w:rPr>
          <w:rFonts w:hint="eastAsia" w:ascii="Times New Roman" w:hAnsi="Times New Roman" w:eastAsia="宋体" w:cs="Times New Roman"/>
          <w:sz w:val="24"/>
          <w:highlight w:val="none"/>
        </w:rPr>
      </w:pPr>
      <w:r>
        <w:rPr>
          <w:rFonts w:hint="eastAsia" w:ascii="宋体" w:hAnsi="宋体" w:eastAsia="宋体" w:cs="仿宋"/>
          <w:b/>
          <w:bCs/>
          <w:color w:val="auto"/>
          <w:sz w:val="24"/>
          <w:highlight w:val="none"/>
          <w:lang w:val="en-US" w:eastAsia="zh-CN" w:bidi="ar"/>
        </w:rPr>
        <w:t xml:space="preserve">（注：一级建造师电子注册证书，执行《住房和城乡建设部办公厅关于全面实行一级建造师电子注册证书的通知》（建办市 [2021]40 号）文件）</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注：项目负责人（项目经理）要求：须是投标申请人本单位在册人员，目前无担任项目经理的工程在建。供应商拟任的项目经理无在建工程(</w:t>
      </w:r>
      <w:r>
        <w:rPr>
          <w:rFonts w:hint="eastAsia" w:ascii="Times New Roman" w:hAnsi="Times New Roman" w:eastAsia="宋体" w:cs="Times New Roman"/>
          <w:sz w:val="24"/>
          <w:highlight w:val="none"/>
          <w:lang w:val="en-US" w:eastAsia="zh-CN"/>
        </w:rPr>
        <w:t xml:space="preserve">供应商</w:t>
      </w:r>
      <w:r>
        <w:rPr>
          <w:rFonts w:hint="eastAsia" w:ascii="Times New Roman" w:hAnsi="Times New Roman" w:eastAsia="宋体" w:cs="Times New Roman"/>
          <w:sz w:val="24"/>
          <w:highlight w:val="none"/>
        </w:rPr>
        <w:t xml:space="preserve">出具承诺并加盖公章，时间为竞争性磋商公告发布时间以后)格式自拟。</w:t>
      </w:r>
      <w:r/>
    </w:p>
    <w:p>
      <w:pPr>
        <w:pStyle w:val="1031"/>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三、获取采购文件</w:t>
      </w:r>
      <w:bookmarkEnd w:id="13"/>
      <w:r/>
      <w:bookmarkEnd w:id="14"/>
      <w:r/>
      <w:r/>
    </w:p>
    <w:p>
      <w:pPr>
        <w:ind w:firstLine="480"/>
        <w:spacing w:line="360" w:lineRule="auto"/>
        <w:rPr>
          <w:rFonts w:hint="eastAsia"/>
          <w:sz w:val="24"/>
        </w:rPr>
      </w:pPr>
      <w:r>
        <w:rPr>
          <w:rFonts w:hint="eastAsia"/>
          <w:sz w:val="24"/>
        </w:rPr>
        <w:t xml:space="preserve">1.时间：自磋商文件公告发布之日起5个工作日。</w:t>
      </w:r>
      <w:r/>
    </w:p>
    <w:p>
      <w:pPr>
        <w:ind w:firstLine="480"/>
        <w:spacing w:line="360" w:lineRule="auto"/>
        <w:rPr>
          <w:rFonts w:hint="eastAsia"/>
          <w:sz w:val="24"/>
        </w:rPr>
      </w:pPr>
      <w:r>
        <w:rPr>
          <w:rFonts w:hint="eastAsia"/>
          <w:sz w:val="24"/>
        </w:rPr>
        <w:t xml:space="preserve">2.地点：“苏采云”政府采购一体化平台</w:t>
      </w:r>
      <w:r/>
    </w:p>
    <w:p>
      <w:pPr>
        <w:ind w:firstLine="480"/>
        <w:spacing w:line="360" w:lineRule="auto"/>
        <w:rPr>
          <w:rFonts w:hint="eastAsia"/>
          <w:sz w:val="24"/>
        </w:rPr>
      </w:pPr>
      <w:r>
        <w:rPr>
          <w:rFonts w:hint="eastAsia"/>
          <w:sz w:val="24"/>
        </w:rPr>
        <w:t xml:space="preserve">3.方式：投标人持CA数字认证证书登录政府采购一体化平台“苏采云”（ http://jszfcg.jscz.gov.cn/jszc/login）获取电子版磋商文件。 </w:t>
      </w:r>
      <w:r/>
    </w:p>
    <w:p>
      <w:pPr>
        <w:ind w:firstLine="480"/>
        <w:spacing w:line="360" w:lineRule="auto"/>
        <w:rPr>
          <w:rFonts w:hint="eastAsia"/>
          <w:sz w:val="24"/>
        </w:rPr>
      </w:pPr>
      <w:r>
        <w:rPr>
          <w:rFonts w:hint="eastAsia"/>
          <w:sz w:val="24"/>
        </w:rPr>
        <w:t xml:space="preserve">4.售价：0元。</w:t>
      </w:r>
      <w:r/>
    </w:p>
    <w:p>
      <w:pPr>
        <w:pStyle w:val="1031"/>
        <w:jc w:val="left"/>
        <w:spacing w:before="0" w:line="360" w:lineRule="auto"/>
        <w:widowControl/>
        <w:rPr>
          <w:rFonts w:ascii="Times New Roman" w:hAnsi="Times New Roman" w:eastAsia="宋体"/>
          <w:sz w:val="24"/>
          <w:szCs w:val="24"/>
          <w:highlight w:val="none"/>
        </w:rPr>
      </w:pPr>
      <w:r/>
      <w:bookmarkStart w:id="15" w:name="_Toc35393624"/>
      <w:r/>
      <w:bookmarkStart w:id="16" w:name="_Toc28359082"/>
      <w:r/>
      <w:bookmarkStart w:id="17" w:name="_Toc35393793"/>
      <w:r/>
      <w:bookmarkStart w:id="18" w:name="_Toc28359005"/>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w:t>
      </w:r>
      <w:r>
        <w:rPr>
          <w:rFonts w:ascii="Times New Roman" w:hAnsi="Times New Roman" w:eastAsia="宋体"/>
          <w:sz w:val="24"/>
          <w:szCs w:val="24"/>
          <w:highlight w:val="none"/>
        </w:rPr>
        <w:t xml:space="preserve">文件提交</w:t>
      </w:r>
      <w:r/>
    </w:p>
    <w:p>
      <w:pPr>
        <w:ind w:firstLine="480"/>
        <w:spacing w:line="360" w:lineRule="auto"/>
        <w:rPr>
          <w:bCs/>
          <w:sz w:val="24"/>
          <w:highlight w:val="none"/>
          <w:u w:val="single"/>
        </w:rPr>
      </w:pPr>
      <w:r>
        <w:rPr>
          <w:sz w:val="24"/>
          <w:highlight w:val="none"/>
          <w:lang w:bidi="ar"/>
        </w:rPr>
        <w:t xml:space="preserve">截止时间：</w:t>
      </w:r>
      <w:r>
        <w:rPr>
          <w:rFonts w:hint="eastAsia"/>
          <w:sz w:val="24"/>
          <w:highlight w:val="none"/>
          <w:lang w:val="en-US" w:eastAsia="zh-CN"/>
        </w:rPr>
        <w:t xml:space="preserve">2025年12月26日9点30分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地点：</w:t>
      </w:r>
      <w:r>
        <w:rPr>
          <w:rFonts w:hint="eastAsia"/>
          <w:sz w:val="24"/>
          <w:highlight w:val="none"/>
        </w:rPr>
        <w:t xml:space="preserve">本项目采用不见面交易方式，无需到现场提交，供应商登录“苏采云”供应商端，通过系统在线提交电子响应文件。</w:t>
      </w:r>
      <w:r/>
    </w:p>
    <w:p>
      <w:pPr>
        <w:pStyle w:val="1031"/>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p>
    <w:p>
      <w:pPr>
        <w:ind w:firstLine="480"/>
        <w:spacing w:line="360" w:lineRule="auto"/>
        <w:rPr>
          <w:bCs/>
          <w:sz w:val="24"/>
          <w:highlight w:val="none"/>
          <w:u w:val="single"/>
        </w:rPr>
      </w:pPr>
      <w:r>
        <w:rPr>
          <w:sz w:val="24"/>
          <w:highlight w:val="none"/>
          <w:lang w:bidi="ar"/>
        </w:rPr>
        <w:t xml:space="preserve">时间：</w:t>
      </w:r>
      <w:r>
        <w:rPr>
          <w:rFonts w:hint="eastAsia"/>
          <w:sz w:val="24"/>
          <w:highlight w:val="none"/>
          <w:lang w:val="en-US" w:eastAsia="zh-CN"/>
        </w:rPr>
        <w:t xml:space="preserve">2025年12月26日9点30分</w:t>
      </w:r>
      <w:r>
        <w:rPr>
          <w:bCs/>
          <w:sz w:val="24"/>
          <w:highlight w:val="none"/>
          <w:lang w:bidi="ar"/>
        </w:rPr>
        <w:t xml:space="preserve">（北京时间）</w:t>
      </w:r>
      <w:r>
        <w:rPr>
          <w:iCs/>
          <w:sz w:val="24"/>
          <w:highlight w:val="none"/>
          <w:lang w:bidi="ar"/>
        </w:rPr>
        <w:t xml:space="preserve">。</w:t>
      </w:r>
      <w:r/>
    </w:p>
    <w:p>
      <w:pPr>
        <w:ind w:firstLine="480"/>
        <w:spacing w:line="360" w:lineRule="auto"/>
        <w:rPr>
          <w:bCs/>
          <w:sz w:val="24"/>
          <w:u w:val="single"/>
        </w:rPr>
      </w:pPr>
      <w:r>
        <w:rPr>
          <w:sz w:val="24"/>
          <w:lang w:bidi="ar"/>
        </w:rPr>
        <w:t xml:space="preserve">地点：</w:t>
      </w:r>
      <w:r>
        <w:rPr>
          <w:rFonts w:hint="eastAsia" w:ascii="宋体" w:hAnsi="宋体"/>
          <w:sz w:val="24"/>
          <w:u w:val="none"/>
        </w:rPr>
        <w:t xml:space="preserve">“苏采云”政府采购交易系统网上开标大厅</w:t>
      </w:r>
      <w:r>
        <w:rPr>
          <w:sz w:val="24"/>
          <w:lang w:val="zh-TW" w:bidi="ar"/>
        </w:rPr>
        <w:t xml:space="preserve">。</w:t>
      </w:r>
      <w:r/>
    </w:p>
    <w:p>
      <w:pPr>
        <w:pStyle w:val="1031"/>
        <w:jc w:val="left"/>
        <w:spacing w:before="0" w:line="360" w:lineRule="auto"/>
        <w:rPr>
          <w:rFonts w:ascii="Times New Roman" w:hAnsi="Times New Roman" w:eastAsia="宋体"/>
          <w:sz w:val="24"/>
          <w:szCs w:val="24"/>
        </w:rPr>
      </w:pPr>
      <w:r/>
      <w:bookmarkStart w:id="19" w:name="_Toc28359007"/>
      <w:r/>
      <w:bookmarkStart w:id="20" w:name="_Toc35393794"/>
      <w:r/>
      <w:bookmarkStart w:id="21" w:name="_Toc35393625"/>
      <w:r/>
      <w:bookmarkStart w:id="22" w:name="_Toc28359084"/>
      <w:r>
        <w:rPr>
          <w:rFonts w:ascii="Times New Roman" w:hAnsi="Times New Roman" w:eastAsia="宋体"/>
          <w:sz w:val="24"/>
          <w:szCs w:val="24"/>
        </w:rPr>
        <w:t xml:space="preserve">六、公告期限</w:t>
      </w:r>
      <w:bookmarkEnd w:id="19"/>
      <w:r/>
      <w:bookmarkEnd w:id="20"/>
      <w:r/>
      <w:bookmarkEnd w:id="21"/>
      <w:r/>
      <w:bookmarkEnd w:id="22"/>
      <w:r/>
      <w:r/>
    </w:p>
    <w:p>
      <w:pPr>
        <w:ind w:firstLine="480"/>
        <w:spacing w:line="360" w:lineRule="auto"/>
        <w:rPr>
          <w:sz w:val="24"/>
        </w:rPr>
      </w:pPr>
      <w:r>
        <w:rPr>
          <w:sz w:val="24"/>
        </w:rPr>
        <w:t xml:space="preserve">自本公告发布之日起</w:t>
      </w:r>
      <w:r>
        <w:rPr>
          <w:rFonts w:hint="eastAsia"/>
          <w:sz w:val="24"/>
          <w:lang w:val="en-US" w:eastAsia="zh-CN"/>
        </w:rPr>
        <w:t xml:space="preserve">3</w:t>
      </w:r>
      <w:r>
        <w:rPr>
          <w:sz w:val="24"/>
        </w:rPr>
        <w:t xml:space="preserve">个工作日。</w:t>
      </w:r>
      <w:r/>
    </w:p>
    <w:p>
      <w:pPr>
        <w:pStyle w:val="1031"/>
        <w:jc w:val="left"/>
        <w:spacing w:before="0" w:line="360" w:lineRule="auto"/>
        <w:rPr>
          <w:rFonts w:ascii="Times New Roman" w:hAnsi="Times New Roman" w:eastAsia="宋体"/>
          <w:sz w:val="24"/>
          <w:szCs w:val="24"/>
        </w:rPr>
      </w:pPr>
      <w:r/>
      <w:bookmarkStart w:id="23" w:name="_Toc35393626"/>
      <w:r/>
      <w:bookmarkStart w:id="24" w:name="_Toc35393795"/>
      <w:r>
        <w:rPr>
          <w:rFonts w:ascii="Times New Roman" w:hAnsi="Times New Roman" w:eastAsia="宋体"/>
          <w:sz w:val="24"/>
          <w:szCs w:val="24"/>
        </w:rPr>
        <w:t xml:space="preserve">七、其他补充事宜</w:t>
      </w:r>
      <w:bookmarkEnd w:id="23"/>
      <w:r/>
      <w:bookmarkEnd w:id="24"/>
      <w:r/>
      <w:r/>
    </w:p>
    <w:p>
      <w:pPr>
        <w:ind w:firstLine="480"/>
        <w:jc w:val="left"/>
        <w:spacing w:line="360" w:lineRule="auto"/>
        <w:widowControl/>
        <w:rPr>
          <w:rFonts w:hint="eastAsia"/>
          <w:sz w:val="24"/>
          <w:lang w:bidi="ar"/>
        </w:rPr>
      </w:pPr>
      <w:r>
        <w:rPr>
          <w:rFonts w:hint="eastAsia"/>
          <w:sz w:val="24"/>
          <w:lang w:bidi="ar"/>
        </w:rPr>
        <w:t xml:space="preserve">1.本项目需要落实的政府采购政策：本项目专门面向中小企业采购，即承担的工程全部由符合政策的中小企业承接。监狱企业和残疾人福利性单位视同小微企业。</w:t>
      </w:r>
      <w:r/>
    </w:p>
    <w:p>
      <w:pPr>
        <w:ind w:firstLine="480"/>
        <w:jc w:val="left"/>
        <w:spacing w:line="360" w:lineRule="auto"/>
        <w:widowControl/>
        <w:rPr>
          <w:rFonts w:hint="eastAsia"/>
          <w:sz w:val="24"/>
          <w:lang w:bidi="ar"/>
        </w:rPr>
      </w:pPr>
      <w:r>
        <w:rPr>
          <w:rFonts w:hint="eastAsia"/>
          <w:sz w:val="24"/>
          <w:lang w:bidi="ar"/>
        </w:rPr>
        <w:t xml:space="preserve">2.本项目采用不见面交易方式，请供应商认真学习“苏采云”的相关操作手册，办理CA认证证书、进行“苏采云”平台注册绑定，并认真核实数字认证证书情况确认是否符合本项目电子化采购流程要求。</w:t>
      </w:r>
      <w:r/>
    </w:p>
    <w:p>
      <w:pPr>
        <w:ind w:firstLine="480"/>
        <w:jc w:val="left"/>
        <w:spacing w:line="360" w:lineRule="auto"/>
        <w:widowControl/>
        <w:rPr>
          <w:rFonts w:hint="eastAsia"/>
          <w:sz w:val="24"/>
          <w:lang w:bidi="ar"/>
        </w:rPr>
      </w:pPr>
      <w:r>
        <w:rPr>
          <w:rFonts w:hint="eastAsia"/>
          <w:sz w:val="24"/>
          <w:lang w:bidi="ar"/>
        </w:rPr>
        <w:t xml:space="preserve">技术保障服务：“苏采云”系统使用期间，由系统开发商江苏富深协通科技股份有限公司提供技术保障服务，指导软件操作，维护系统稳定运行。</w:t>
      </w:r>
      <w:r/>
    </w:p>
    <w:p>
      <w:pPr>
        <w:ind w:firstLine="480"/>
        <w:jc w:val="left"/>
        <w:spacing w:line="360" w:lineRule="auto"/>
        <w:widowControl/>
        <w:rPr>
          <w:rFonts w:hint="eastAsia"/>
          <w:sz w:val="24"/>
          <w:lang w:bidi="ar"/>
        </w:rPr>
      </w:pPr>
      <w:r>
        <w:rPr>
          <w:rFonts w:hint="eastAsia"/>
          <w:sz w:val="24"/>
          <w:lang w:bidi="ar"/>
        </w:rPr>
        <w:t xml:space="preserve">运维保障联系方式：0519-85588210、0519-85588163</w:t>
      </w:r>
      <w:r/>
    </w:p>
    <w:p>
      <w:pPr>
        <w:ind w:firstLine="480"/>
        <w:jc w:val="left"/>
        <w:spacing w:line="360" w:lineRule="auto"/>
        <w:widowControl/>
        <w:rPr>
          <w:rFonts w:hint="eastAsia"/>
          <w:sz w:val="24"/>
          <w:lang w:bidi="ar"/>
        </w:rPr>
      </w:pPr>
      <w:r>
        <w:rPr>
          <w:rFonts w:hint="eastAsia"/>
          <w:sz w:val="24"/>
          <w:lang w:bidi="ar"/>
        </w:rPr>
        <w:t xml:space="preserve">2.1办理CA认证证书</w:t>
      </w:r>
      <w:r/>
    </w:p>
    <w:p>
      <w:pPr>
        <w:ind w:firstLine="480"/>
        <w:jc w:val="left"/>
        <w:spacing w:line="360" w:lineRule="auto"/>
        <w:widowControl/>
        <w:rPr>
          <w:rFonts w:hint="eastAsia"/>
          <w:sz w:val="24"/>
          <w:lang w:bidi="ar"/>
        </w:rPr>
      </w:pPr>
      <w:r>
        <w:rPr>
          <w:rFonts w:hint="eastAsia"/>
          <w:sz w:val="24"/>
          <w:lang w:bidi="ar"/>
        </w:rPr>
        <w:t xml:space="preserve">申请人登录常州政府采购网“下载中心”栏目，根据江苏省政府采购数字证书CA及电子签章办理指南，下载填写《CA数字证书及电子签章申请表》，并携带营业执照复印件（盖公章）和原CA在工作日至市公共资源交易中心4楼开标大厅现场办理。地址：锦绣路2号行政服务中心1-1号楼。CA办理窗口联系方式：0519-85588120。</w:t>
      </w:r>
      <w:r/>
    </w:p>
    <w:p>
      <w:pPr>
        <w:ind w:firstLine="480"/>
        <w:jc w:val="left"/>
        <w:spacing w:line="360" w:lineRule="auto"/>
        <w:widowControl/>
        <w:rPr>
          <w:rFonts w:hint="eastAsia"/>
          <w:sz w:val="24"/>
          <w:lang w:bidi="ar"/>
        </w:rPr>
      </w:pPr>
      <w:r>
        <w:rPr>
          <w:rFonts w:hint="eastAsia"/>
          <w:sz w:val="24"/>
          <w:lang w:bidi="ar"/>
        </w:rPr>
        <w:t xml:space="preserve">2.2注册</w:t>
      </w:r>
      <w:r/>
    </w:p>
    <w:p>
      <w:pPr>
        <w:ind w:firstLine="480"/>
        <w:jc w:val="left"/>
        <w:spacing w:line="360" w:lineRule="auto"/>
        <w:widowControl/>
        <w:rPr>
          <w:rFonts w:hint="eastAsia"/>
          <w:sz w:val="24"/>
          <w:lang w:bidi="ar"/>
        </w:rPr>
      </w:pPr>
      <w:r>
        <w:rPr>
          <w:rFonts w:hint="eastAsia"/>
          <w:sz w:val="24"/>
          <w:lang w:bidi="ar"/>
        </w:rPr>
        <w:t xml:space="preserve">供应商应当使用谷歌浏览器登录“苏采云”门户网站，网址为：http://jszfcg．jsczt．cn/jszc/login。首次登录“苏采云”系统，需要绑定CA。</w:t>
      </w:r>
      <w:r/>
    </w:p>
    <w:p>
      <w:pPr>
        <w:ind w:firstLine="480"/>
        <w:jc w:val="left"/>
        <w:spacing w:line="360" w:lineRule="auto"/>
        <w:widowControl/>
        <w:rPr>
          <w:rFonts w:hint="eastAsia"/>
          <w:sz w:val="24"/>
          <w:lang w:bidi="ar"/>
        </w:rPr>
      </w:pPr>
      <w:r>
        <w:rPr>
          <w:rFonts w:hint="eastAsia"/>
          <w:sz w:val="24"/>
          <w:lang w:bidi="ar"/>
        </w:rPr>
        <w:t xml:space="preserve">2.3控件、客户端下载</w:t>
      </w:r>
      <w:r/>
    </w:p>
    <w:p>
      <w:pPr>
        <w:ind w:firstLine="480"/>
        <w:jc w:val="left"/>
        <w:spacing w:line="360" w:lineRule="auto"/>
        <w:widowControl/>
        <w:rPr>
          <w:rFonts w:hint="eastAsia"/>
          <w:sz w:val="24"/>
          <w:lang w:bidi="ar"/>
        </w:rPr>
      </w:pPr>
      <w:r>
        <w:rPr>
          <w:rFonts w:hint="eastAsia"/>
          <w:sz w:val="24"/>
          <w:lang w:bidi="ar"/>
        </w:rPr>
        <w:t xml:space="preserve">供应商应当使用谷歌浏览器登录“苏采云”门户网站，网址为：http://jszfcg．jsczt．cn/jszc/login下载相关驱动。</w:t>
      </w:r>
      <w:r/>
    </w:p>
    <w:p>
      <w:pPr>
        <w:ind w:firstLine="480"/>
        <w:jc w:val="left"/>
        <w:spacing w:line="360" w:lineRule="auto"/>
        <w:widowControl/>
        <w:rPr>
          <w:rFonts w:hint="eastAsia"/>
          <w:sz w:val="24"/>
          <w:lang w:bidi="ar"/>
        </w:rPr>
      </w:pPr>
      <w:r>
        <w:rPr>
          <w:rFonts w:hint="eastAsia"/>
          <w:sz w:val="24"/>
          <w:lang w:bidi="ar"/>
        </w:rPr>
        <w:t xml:space="preserve">2.4 获取电子磋商文件</w:t>
      </w:r>
      <w:r/>
    </w:p>
    <w:p>
      <w:pPr>
        <w:ind w:firstLine="480"/>
        <w:jc w:val="left"/>
        <w:spacing w:line="360" w:lineRule="auto"/>
        <w:widowControl/>
        <w:rPr>
          <w:rFonts w:hint="eastAsia"/>
          <w:sz w:val="24"/>
          <w:lang w:bidi="ar"/>
        </w:rPr>
      </w:pPr>
      <w:r>
        <w:rPr>
          <w:rFonts w:hint="eastAsia"/>
          <w:sz w:val="24"/>
          <w:lang w:bidi="ar"/>
        </w:rPr>
        <w:t xml:space="preserve">供应商持CA数字认证证书登录“苏采云”平台获取电子磋商文件。未在规定期限内通过“苏采云”平台获取磋商文件的响应无效。</w:t>
      </w:r>
      <w:r/>
    </w:p>
    <w:p>
      <w:pPr>
        <w:ind w:firstLine="480"/>
        <w:jc w:val="left"/>
        <w:spacing w:line="360" w:lineRule="auto"/>
        <w:widowControl/>
        <w:rPr>
          <w:rFonts w:hint="eastAsia"/>
          <w:sz w:val="24"/>
          <w:lang w:bidi="ar"/>
        </w:rPr>
      </w:pPr>
      <w:r>
        <w:rPr>
          <w:rFonts w:hint="eastAsia"/>
          <w:sz w:val="24"/>
          <w:lang w:bidi="ar"/>
        </w:rPr>
        <w:t xml:space="preserve">2.5编制电子响应文件</w:t>
      </w:r>
      <w:r/>
    </w:p>
    <w:p>
      <w:pPr>
        <w:ind w:firstLine="480"/>
        <w:jc w:val="left"/>
        <w:spacing w:line="360" w:lineRule="auto"/>
        <w:widowControl/>
        <w:rPr>
          <w:rFonts w:hint="eastAsia"/>
          <w:sz w:val="24"/>
          <w:lang w:bidi="ar"/>
        </w:rPr>
      </w:pPr>
      <w:r>
        <w:rPr>
          <w:rFonts w:hint="eastAsia"/>
          <w:sz w:val="24"/>
          <w:lang w:bidi="ar"/>
        </w:rPr>
        <w:t xml:space="preserve">本采购项目评审方式为“线上评审”，供应商在参与后，请先下载对应采购包的投标文件，在客户端完成标书制作和CA加密，并将制作完成的投标文件包上传。</w:t>
      </w:r>
      <w:r/>
    </w:p>
    <w:p>
      <w:pPr>
        <w:ind w:firstLine="480"/>
        <w:jc w:val="left"/>
        <w:spacing w:line="360" w:lineRule="auto"/>
        <w:widowControl/>
        <w:rPr>
          <w:rFonts w:hint="eastAsia"/>
          <w:sz w:val="24"/>
          <w:lang w:bidi="ar"/>
        </w:rPr>
      </w:pPr>
      <w:r>
        <w:rPr>
          <w:rFonts w:hint="eastAsia"/>
          <w:sz w:val="24"/>
          <w:lang w:bidi="ar"/>
        </w:rPr>
        <w:t xml:space="preserve">2.6提交电子响应文件</w:t>
      </w:r>
      <w:r/>
    </w:p>
    <w:p>
      <w:pPr>
        <w:ind w:firstLine="480"/>
        <w:jc w:val="left"/>
        <w:spacing w:line="360" w:lineRule="auto"/>
        <w:widowControl/>
        <w:rPr>
          <w:rFonts w:hint="eastAsia"/>
          <w:sz w:val="24"/>
          <w:lang w:bidi="ar"/>
        </w:rPr>
      </w:pPr>
      <w:r>
        <w:rPr>
          <w:rFonts w:hint="eastAsia"/>
          <w:sz w:val="24"/>
          <w:lang w:bidi="ar"/>
        </w:rPr>
        <w:t xml:space="preserve">投标文件接收截止时间之前可撤回已提交的投标文件，修改后再次提交。投标文件提交后，可通过模拟解密操作检测投标文件包是否可以在开标阶段正常解密。上传投标文件包以及模拟解密时，系统会验证您的CA,请确保您用于验证的CA和客户端加密投标文件时使用的CA相同！</w:t>
      </w:r>
      <w:r/>
    </w:p>
    <w:p>
      <w:pPr>
        <w:ind w:firstLine="480"/>
        <w:jc w:val="left"/>
        <w:spacing w:line="360" w:lineRule="auto"/>
        <w:widowControl/>
        <w:rPr>
          <w:rFonts w:hint="eastAsia"/>
          <w:sz w:val="24"/>
          <w:lang w:bidi="ar"/>
        </w:rPr>
      </w:pPr>
      <w:r>
        <w:rPr>
          <w:rFonts w:hint="eastAsia"/>
          <w:sz w:val="24"/>
          <w:lang w:bidi="ar"/>
        </w:rPr>
        <w:t xml:space="preserve">2.7电子开标</w:t>
      </w:r>
      <w:r/>
    </w:p>
    <w:p>
      <w:pPr>
        <w:ind w:firstLine="480"/>
        <w:jc w:val="left"/>
        <w:spacing w:line="360" w:lineRule="auto"/>
        <w:widowControl/>
        <w:rPr>
          <w:rFonts w:hint="eastAsia"/>
          <w:sz w:val="24"/>
          <w:lang w:bidi="ar"/>
        </w:rPr>
      </w:pPr>
      <w:r>
        <w:rPr>
          <w:rFonts w:hint="eastAsia"/>
          <w:sz w:val="24"/>
          <w:lang w:bidi="ar"/>
        </w:rPr>
        <w:t xml:space="preserve">登录苏采云系统，点击“开标大厅”，选择对应项目。</w:t>
      </w:r>
      <w:r/>
    </w:p>
    <w:p>
      <w:pPr>
        <w:ind w:firstLine="480"/>
        <w:jc w:val="left"/>
        <w:spacing w:line="360" w:lineRule="auto"/>
        <w:widowControl/>
        <w:rPr>
          <w:rFonts w:hint="eastAsia"/>
          <w:sz w:val="24"/>
          <w:lang w:bidi="ar"/>
        </w:rPr>
      </w:pPr>
      <w:r>
        <w:rPr>
          <w:rFonts w:hint="eastAsia"/>
          <w:sz w:val="24"/>
          <w:lang w:bidi="ar"/>
        </w:rPr>
        <w:t xml:space="preserve">开评标流程如下：开标等待----&gt;开标主持----&gt;供应商解密----&gt;唱标----&gt;评审----&gt;评审结束说明：整个开评标环节，供应商只需要在【供应商解密】环节进行 CA 解密、【唱标】环节进行唱标确认、【评审】环节等待询标澄清或最终报价的准备，其余环节均为语音播报，供应商观看开标即可。</w:t>
      </w:r>
      <w:r/>
    </w:p>
    <w:p>
      <w:pPr>
        <w:ind w:firstLine="480"/>
        <w:jc w:val="left"/>
        <w:spacing w:line="360" w:lineRule="auto"/>
        <w:widowControl/>
        <w:rPr>
          <w:rFonts w:hint="eastAsia"/>
          <w:sz w:val="24"/>
          <w:lang w:bidi="ar"/>
        </w:rPr>
      </w:pPr>
      <w:r>
        <w:rPr>
          <w:rFonts w:hint="eastAsia"/>
          <w:sz w:val="24"/>
          <w:lang w:bidi="ar"/>
        </w:rPr>
        <w:t xml:space="preserve">2.8注意事项</w:t>
      </w:r>
      <w:r/>
    </w:p>
    <w:p>
      <w:pPr>
        <w:ind w:firstLine="480"/>
        <w:jc w:val="left"/>
        <w:spacing w:line="360" w:lineRule="auto"/>
        <w:widowControl/>
        <w:rPr>
          <w:rFonts w:hint="eastAsia"/>
          <w:sz w:val="24"/>
          <w:lang w:bidi="ar"/>
        </w:rPr>
      </w:pPr>
      <w:r>
        <w:rPr>
          <w:rFonts w:hint="eastAsia"/>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jc w:val="left"/>
        <w:spacing w:line="360" w:lineRule="auto"/>
        <w:widowControl/>
        <w:rPr>
          <w:rFonts w:hint="eastAsia"/>
          <w:sz w:val="24"/>
          <w:lang w:bidi="ar"/>
        </w:rPr>
      </w:pPr>
      <w:r>
        <w:rPr>
          <w:rFonts w:hint="eastAsia"/>
          <w:sz w:val="24"/>
          <w:lang w:bidi="ar"/>
        </w:rPr>
        <w:t xml:space="preserve">3.关于常州市中小企业政府采购信用融资：</w:t>
      </w:r>
      <w:r/>
    </w:p>
    <w:p>
      <w:pPr>
        <w:ind w:firstLine="480"/>
        <w:jc w:val="left"/>
        <w:spacing w:line="360" w:lineRule="auto"/>
        <w:widowControl/>
        <w:rPr>
          <w:sz w:val="24"/>
        </w:rPr>
      </w:pPr>
      <w:r>
        <w:rPr>
          <w:rFonts w:hint="eastAsia"/>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31"/>
        <w:jc w:val="left"/>
        <w:spacing w:before="0" w:line="360" w:lineRule="auto"/>
        <w:rPr>
          <w:rFonts w:ascii="Times New Roman" w:hAnsi="Times New Roman" w:eastAsia="宋体"/>
          <w:sz w:val="24"/>
          <w:szCs w:val="24"/>
        </w:rPr>
      </w:pPr>
      <w:r/>
      <w:bookmarkStart w:id="25" w:name="_Toc35393796"/>
      <w:r/>
      <w:bookmarkStart w:id="26" w:name="_Toc28359008"/>
      <w:r/>
      <w:bookmarkStart w:id="27" w:name="_Toc35393627"/>
      <w:r/>
      <w:bookmarkStart w:id="28" w:name="_Toc28359085"/>
      <w:r>
        <w:rPr>
          <w:rFonts w:ascii="Times New Roman" w:hAnsi="Times New Roman" w:eastAsia="宋体"/>
          <w:sz w:val="24"/>
          <w:szCs w:val="24"/>
        </w:rPr>
        <w:t xml:space="preserve">八、对本项目提出询问，请按以下方式联系。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1.采购人信息</w:t>
      </w:r>
      <w:r/>
    </w:p>
    <w:p>
      <w:pPr>
        <w:ind w:left="1076" w:hanging="297"/>
        <w:jc w:val="left"/>
        <w:spacing w:line="360" w:lineRule="auto"/>
        <w:rPr>
          <w:rFonts w:hint="eastAsia" w:ascii="Times New Roman" w:hAnsi="Times New Roman" w:eastAsia="宋体" w:cs="Times New Roman"/>
          <w:sz w:val="24"/>
          <w:lang w:eastAsia="zh-CN"/>
        </w:rPr>
      </w:pPr>
      <w:r/>
      <w:bookmarkStart w:id="29" w:name="_Toc28359009"/>
      <w:r/>
      <w:bookmarkStart w:id="30" w:name="_Toc28359086"/>
      <w:r>
        <w:rPr>
          <w:rFonts w:hint="eastAsia"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：溧阳市南渡镇人民政府</w:t>
      </w:r>
      <w:r/>
    </w:p>
    <w:p>
      <w:pPr>
        <w:ind w:left="1076" w:hanging="297"/>
        <w:jc w:val="left"/>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地    址：</w:t>
      </w:r>
      <w:bookmarkStart w:id="31" w:name="XMBH_1"/>
      <w:r>
        <w:rPr>
          <w:rFonts w:hint="default" w:ascii="Times New Roman" w:hAnsi="Times New Roman" w:eastAsia="宋体" w:cs="Times New Roman"/>
          <w:sz w:val="24"/>
          <w:lang w:val="en-US" w:eastAsia="zh-CN"/>
        </w:rPr>
        <w:t xml:space="preserve">溧阳市南渡镇五星大道</w:t>
      </w:r>
      <w:r>
        <w:rPr>
          <w:rFonts w:hint="eastAsia" w:ascii="Times New Roman" w:hAnsi="Times New Roman" w:eastAsia="宋体" w:cs="Times New Roman"/>
          <w:sz w:val="24"/>
          <w:lang w:val="en-US" w:eastAsia="zh-CN"/>
        </w:rPr>
        <w:t xml:space="preserve">1号</w:t>
      </w:r>
      <w:bookmarkEnd w:id="31"/>
      <w:r/>
      <w:r/>
    </w:p>
    <w:p>
      <w:pPr>
        <w:ind w:left="1076" w:hanging="297"/>
        <w:jc w:val="left"/>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eastAsia="zh-CN"/>
        </w:rPr>
        <w:t xml:space="preserve">联系方式：</w:t>
      </w:r>
      <w:r>
        <w:rPr>
          <w:rFonts w:hint="eastAsia" w:ascii="Times New Roman" w:hAnsi="Times New Roman" w:eastAsia="宋体" w:cs="Times New Roman"/>
          <w:sz w:val="24"/>
          <w:lang w:val="en-US" w:eastAsia="zh-CN"/>
        </w:rPr>
        <w:t xml:space="preserve">张先生</w:t>
      </w:r>
      <w:r/>
    </w:p>
    <w:p>
      <w:pPr>
        <w:ind w:left="1078" w:hanging="299"/>
        <w:jc w:val="left"/>
        <w:spacing w:line="360" w:lineRule="auto"/>
        <w:rPr>
          <w:b/>
          <w:sz w:val="24"/>
        </w:rPr>
      </w:pPr>
      <w:r>
        <w:rPr>
          <w:b/>
          <w:sz w:val="24"/>
        </w:rPr>
        <w:t xml:space="preserve">2.采购代理机构信息</w:t>
      </w:r>
      <w:bookmarkEnd w:id="29"/>
      <w:r/>
      <w:bookmarkEnd w:id="30"/>
      <w:r/>
      <w:r/>
    </w:p>
    <w:p>
      <w:pPr>
        <w:ind w:left="1076" w:hanging="297"/>
        <w:jc w:val="left"/>
        <w:spacing w:line="360" w:lineRule="auto"/>
        <w:rPr>
          <w:rFonts w:hint="eastAsia" w:eastAsia="宋体"/>
          <w:sz w:val="24"/>
          <w:lang w:eastAsia="zh-CN"/>
        </w:rPr>
      </w:pPr>
      <w:r/>
      <w:bookmarkStart w:id="32" w:name="_Toc28359087"/>
      <w:r/>
      <w:bookmarkStart w:id="33" w:name="_Toc28359010"/>
      <w:r>
        <w:rPr>
          <w:sz w:val="24"/>
        </w:rPr>
        <w:t xml:space="preserve">名    称：</w:t>
      </w:r>
      <w:r>
        <w:rPr>
          <w:rFonts w:hint="eastAsia"/>
          <w:sz w:val="24"/>
          <w:lang w:eastAsia="zh-CN"/>
        </w:rPr>
        <w:t xml:space="preserve">江苏恒卓工程管理咨询有限公司</w:t>
      </w:r>
      <w:r/>
    </w:p>
    <w:p>
      <w:pPr>
        <w:ind w:left="1076" w:hanging="297"/>
        <w:jc w:val="left"/>
        <w:spacing w:line="360" w:lineRule="auto"/>
        <w:rPr>
          <w:sz w:val="24"/>
        </w:rPr>
      </w:pPr>
      <w:r>
        <w:rPr>
          <w:sz w:val="24"/>
        </w:rPr>
        <w:t xml:space="preserve">地    址：</w:t>
      </w:r>
      <w:r>
        <w:rPr>
          <w:rFonts w:hint="eastAsia"/>
          <w:sz w:val="24"/>
          <w:lang w:eastAsia="zh-CN"/>
        </w:rPr>
        <w:t xml:space="preserve">溧阳市游子吟大道19号</w:t>
      </w:r>
      <w:r>
        <w:rPr>
          <w:rFonts w:hint="eastAsia"/>
          <w:sz w:val="24"/>
        </w:rPr>
        <w:t xml:space="preserve">通用路桥大楼8楼</w:t>
      </w:r>
      <w:r/>
    </w:p>
    <w:p>
      <w:pPr>
        <w:ind w:left="1076" w:hanging="297"/>
        <w:jc w:val="left"/>
        <w:spacing w:line="360" w:lineRule="auto"/>
        <w:rPr>
          <w:sz w:val="24"/>
          <w:u w:val="single"/>
        </w:rPr>
      </w:pPr>
      <w:r>
        <w:rPr>
          <w:sz w:val="24"/>
        </w:rPr>
        <w:t xml:space="preserve">联系方式：</w:t>
      </w:r>
      <w:r>
        <w:rPr>
          <w:rFonts w:hint="eastAsia"/>
          <w:sz w:val="24"/>
        </w:rPr>
        <w:t xml:space="preserve">0519-68910808</w:t>
      </w:r>
      <w:r/>
    </w:p>
    <w:p>
      <w:pPr>
        <w:ind w:left="1078" w:hanging="299"/>
        <w:spacing w:line="360" w:lineRule="auto"/>
        <w:rPr>
          <w:b/>
          <w:sz w:val="24"/>
          <w:u w:val="single"/>
        </w:rPr>
      </w:pPr>
      <w:r>
        <w:rPr>
          <w:b/>
          <w:sz w:val="24"/>
        </w:rPr>
        <w:t xml:space="preserve">3.项目联系方式</w:t>
      </w:r>
      <w:bookmarkEnd w:id="32"/>
      <w:r/>
      <w:bookmarkEnd w:id="33"/>
      <w:r/>
      <w:r/>
    </w:p>
    <w:p>
      <w:pPr>
        <w:pStyle w:val="1068"/>
        <w:ind w:left="1076" w:hanging="297"/>
        <w:spacing w:line="360" w:lineRule="auto"/>
        <w:rPr>
          <w:rFonts w:ascii="Times New Roman" w:hAnsi="Times New Roman"/>
          <w:sz w:val="24"/>
          <w:u w:val="single"/>
          <w:lang w:bidi="ar"/>
        </w:rPr>
      </w:pPr>
      <w:r>
        <w:rPr>
          <w:rFonts w:ascii="Times New Roman" w:hAnsi="Times New Roman"/>
          <w:sz w:val="24"/>
          <w:szCs w:val="24"/>
        </w:rPr>
        <w:t xml:space="preserve">项目联系人：</w:t>
      </w:r>
      <w:r>
        <w:rPr>
          <w:rFonts w:hint="eastAsia" w:ascii="Times New Roman" w:hAnsi="Times New Roman"/>
          <w:sz w:val="24"/>
          <w:szCs w:val="24"/>
          <w:lang w:val="en-US" w:eastAsia="zh-CN"/>
        </w:rPr>
        <w:t xml:space="preserve">杨</w:t>
      </w:r>
      <w:r>
        <w:rPr>
          <w:rFonts w:ascii="Times New Roman" w:hAnsi="Times New Roman"/>
          <w:sz w:val="24"/>
        </w:rPr>
        <w:t xml:space="preserve">工</w:t>
      </w:r>
      <w:r/>
    </w:p>
    <w:p>
      <w:pPr>
        <w:pStyle w:val="1068"/>
        <w:ind w:left="1076" w:hanging="297"/>
        <w:spacing w:line="360" w:lineRule="auto"/>
        <w:rPr>
          <w:rFonts w:ascii="Times New Roman" w:hAnsi="Times New Roman"/>
          <w:sz w:val="24"/>
          <w:szCs w:val="24"/>
        </w:rPr>
      </w:pPr>
      <w:r>
        <w:rPr>
          <w:rFonts w:ascii="Times New Roman" w:hAnsi="Times New Roman"/>
          <w:sz w:val="24"/>
        </w:rPr>
        <w:t xml:space="preserve">电      话：0519-68910808</w:t>
      </w:r>
      <w:r>
        <w:rPr>
          <w:rFonts w:ascii="Times New Roman" w:hAnsi="Times New Roman"/>
          <w:sz w:val="24"/>
          <w:szCs w:val="24"/>
        </w:rPr>
        <w:t xml:space="preserve"> </w:t>
      </w:r>
      <w:r/>
    </w:p>
    <w:p>
      <w:pPr>
        <w:jc w:val="left"/>
        <w:spacing w:line="360" w:lineRule="auto"/>
        <w:rPr>
          <w:sz w:val="24"/>
        </w:rPr>
      </w:pPr>
      <w:r>
        <w:rPr>
          <w:rFonts w:hint="eastAsia" w:ascii="宋体" w:hAnsi="宋体" w:eastAsia="宋体" w:cs="宋体"/>
          <w:b/>
          <w:bCs/>
          <w:color w:val="000000"/>
          <w:sz w:val="21"/>
          <w:szCs w:val="21"/>
          <w:lang w:val="zh-TW" w:eastAsia="zh-CN" w:bidi="ar-SA"/>
        </w:rPr>
        <w:t xml:space="preserve">注：以上个人信息，由于工作需要经机构或本人同意对外公布。</w:t>
      </w:r>
      <w:r/>
    </w:p>
    <w:p>
      <w:pPr>
        <w:jc w:val="center"/>
        <w:spacing w:line="360" w:lineRule="auto"/>
        <w:rPr>
          <w:b/>
          <w:sz w:val="32"/>
          <w:szCs w:val="32"/>
        </w:rPr>
        <w:outlineLvl w:val="0"/>
      </w:pPr>
      <w:r>
        <w:rPr>
          <w:sz w:val="24"/>
        </w:rPr>
        <w:br w:type="page" w:clear="all"/>
      </w:r>
      <w:bookmarkStart w:id="34" w:name="_Toc195842950"/>
      <w:r/>
      <w:bookmarkStart w:id="35" w:name="_Toc127151777"/>
      <w:r/>
      <w:bookmarkStart w:id="36" w:name="_Toc305158854"/>
      <w:r/>
      <w:bookmarkStart w:id="37" w:name="_Toc512937850"/>
      <w:r/>
      <w:bookmarkStart w:id="38" w:name="_Toc127161488"/>
      <w:r/>
      <w:bookmarkStart w:id="39" w:name="_Toc265228423"/>
      <w:r/>
      <w:bookmarkStart w:id="40" w:name="_Toc353825548"/>
      <w:r/>
      <w:bookmarkStart w:id="41" w:name="_Toc104818926"/>
      <w:r/>
      <w:bookmarkStart w:id="42" w:name="_Toc150774783"/>
      <w:r/>
      <w:bookmarkStart w:id="43" w:name="_Toc353873938"/>
      <w:r/>
      <w:bookmarkStart w:id="44" w:name="_Toc264969275"/>
      <w:r/>
      <w:bookmarkStart w:id="45" w:name="_Toc226965856"/>
      <w:r/>
      <w:bookmarkStart w:id="46" w:name="_Toc305158928"/>
      <w:r>
        <w:rPr>
          <w:b/>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031"/>
        <w:spacing w:before="0" w:line="360" w:lineRule="auto"/>
        <w:tabs>
          <w:tab w:val="center" w:pos="4592" w:leader="none"/>
          <w:tab w:val="left" w:pos="7860" w:leader="none"/>
        </w:tabs>
        <w:rPr>
          <w:rFonts w:ascii="Times New Roman" w:hAnsi="Times New Roman" w:eastAsia="宋体"/>
          <w:b w:val="0"/>
          <w:sz w:val="28"/>
        </w:rPr>
      </w:pPr>
      <w:r/>
      <w:bookmarkStart w:id="47" w:name="_Toc142311021"/>
      <w:r/>
      <w:bookmarkStart w:id="48" w:name="_Toc151193761"/>
      <w:r/>
      <w:bookmarkStart w:id="49" w:name="_Toc151190146"/>
      <w:r/>
      <w:bookmarkStart w:id="50" w:name="_Toc127151720"/>
      <w:r/>
      <w:bookmarkStart w:id="51" w:name="_Toc164608788"/>
      <w:r/>
      <w:bookmarkStart w:id="52" w:name="_Toc151193907"/>
      <w:r/>
      <w:bookmarkStart w:id="53" w:name="_Toc226309763"/>
      <w:r/>
      <w:bookmarkStart w:id="54" w:name="_Toc164351613"/>
      <w:r/>
      <w:bookmarkStart w:id="55" w:name="_Toc195842884"/>
      <w:r/>
      <w:bookmarkStart w:id="56" w:name="_Toc150774724"/>
      <w:r/>
      <w:bookmarkStart w:id="57" w:name="_Toc150774619"/>
      <w:r/>
      <w:bookmarkStart w:id="58" w:name="_Toc226337215"/>
      <w:r/>
      <w:bookmarkStart w:id="59" w:name="_Toc226965709"/>
      <w:r/>
      <w:bookmarkStart w:id="60" w:name="_Toc151193689"/>
      <w:r/>
      <w:bookmarkStart w:id="61" w:name="_Toc164229360"/>
      <w:r/>
      <w:bookmarkStart w:id="62" w:name="_Toc151193617"/>
      <w:r/>
      <w:bookmarkStart w:id="63" w:name="_Toc150509270"/>
      <w:r/>
      <w:bookmarkStart w:id="64" w:name="_Toc151193833"/>
      <w:r/>
      <w:bookmarkStart w:id="65" w:name="_Toc226965792"/>
      <w:r/>
      <w:bookmarkStart w:id="66" w:name="_Toc164608633"/>
      <w:r/>
      <w:bookmarkStart w:id="67" w:name="_Toc149720812"/>
      <w:r/>
      <w:bookmarkStart w:id="68" w:name="_Toc127161433"/>
      <w:r/>
      <w:bookmarkStart w:id="69" w:name="_Toc520356144"/>
      <w:r/>
      <w:bookmarkStart w:id="70" w:name="_Toc164229214"/>
      <w:r/>
      <w:bookmarkStart w:id="71" w:name="_Toc150480757"/>
      <w:r/>
      <w:bookmarkStart w:id="72" w:name="_Toc127151519"/>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p>
    <w:tbl>
      <w:tblPr>
        <w:tblStyle w:val="852"/>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253" w:type="dxa"/>
            <w:vAlign w:val="center"/>
            <w:textDirection w:val="lrTb"/>
            <w:noWrap w:val="false"/>
          </w:tcPr>
          <w:p>
            <w:pPr>
              <w:jc w:val="center"/>
              <w:rPr>
                <w:b/>
                <w:bCs/>
                <w:sz w:val="24"/>
              </w:rPr>
            </w:pPr>
            <w:r>
              <w:rPr>
                <w:b/>
                <w:bCs/>
                <w:sz w:val="24"/>
              </w:rPr>
              <w:t xml:space="preserve">内容</w:t>
            </w:r>
            <w:r/>
          </w:p>
        </w:tc>
      </w:tr>
      <w:tr>
        <w:trPr>
          <w:jc w:val="center"/>
          <w:trHeight w:val="533"/>
        </w:trPr>
        <w:tc>
          <w:tcPr>
            <w:tcW w:w="988" w:type="dxa"/>
            <w:vAlign w:val="center"/>
            <w:textDirection w:val="lrTb"/>
            <w:noWrap w:val="false"/>
          </w:tcPr>
          <w:p>
            <w:pPr>
              <w:pStyle w:val="1068"/>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253" w:type="dxa"/>
            <w:vAlign w:val="center"/>
            <w:textDirection w:val="lrTb"/>
            <w:noWrap w:val="false"/>
          </w:tcPr>
          <w:p>
            <w:pPr>
              <w:jc w:val="left"/>
              <w:rPr>
                <w:sz w:val="24"/>
                <w:u w:val="single"/>
              </w:rPr>
            </w:pPr>
            <w:r>
              <w:rPr>
                <w:rFonts w:ascii="Times New Roman" w:hAnsi="Times New Roman" w:eastAsia="宋体" w:cs="Times New Roman"/>
                <w:sz w:val="24"/>
              </w:rPr>
              <w:t xml:space="preserve">项目属性：</w:t>
            </w:r>
            <w:r>
              <w:rPr>
                <w:rFonts w:hint="eastAsia" w:ascii="Times New Roman" w:hAnsi="Times New Roman" w:eastAsia="宋体" w:cs="Times New Roman"/>
                <w:sz w:val="24"/>
              </w:rPr>
              <w:t xml:space="preserve">工程</w:t>
            </w:r>
            <w:r/>
          </w:p>
        </w:tc>
      </w:tr>
      <w:tr>
        <w:trPr>
          <w:jc w:val="center"/>
          <w:trHeight w:val="649"/>
        </w:trPr>
        <w:tc>
          <w:tcPr>
            <w:tcW w:w="988" w:type="dxa"/>
            <w:vAlign w:val="center"/>
            <w:textDirection w:val="lrTb"/>
            <w:noWrap w:val="false"/>
          </w:tcPr>
          <w:p>
            <w:pPr>
              <w:pStyle w:val="1068"/>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253" w:type="dxa"/>
            <w:vAlign w:val="center"/>
            <w:textDirection w:val="lrTb"/>
            <w:noWrap w:val="false"/>
          </w:tcPr>
          <w:p>
            <w:pPr>
              <w:jc w:val="left"/>
              <w:rPr>
                <w:sz w:val="24"/>
              </w:rPr>
            </w:pPr>
            <w:r>
              <w:rPr>
                <w:sz w:val="24"/>
              </w:rPr>
              <w:t xml:space="preserve">是否属于科研仪器设备采购项目：否</w:t>
            </w:r>
            <w:r/>
          </w:p>
        </w:tc>
      </w:tr>
      <w:tr>
        <w:trPr>
          <w:jc w:val="center"/>
          <w:trHeight w:val="543"/>
        </w:trPr>
        <w:tc>
          <w:tcPr>
            <w:tcW w:w="988" w:type="dxa"/>
            <w:vAlign w:val="center"/>
            <w:vMerge w:val="restart"/>
            <w:textDirection w:val="lrTb"/>
            <w:noWrap w:val="false"/>
          </w:tcPr>
          <w:p>
            <w:pPr>
              <w:pStyle w:val="1068"/>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253" w:type="dxa"/>
            <w:vAlign w:val="center"/>
            <w:textDirection w:val="lrTb"/>
            <w:noWrap w:val="false"/>
          </w:tcPr>
          <w:p>
            <w:pPr>
              <w:pStyle w:val="1068"/>
              <w:rPr>
                <w:rFonts w:ascii="Times New Roman" w:hAnsi="Times New Roman"/>
                <w:sz w:val="24"/>
                <w:szCs w:val="24"/>
              </w:rPr>
            </w:pPr>
            <w:r>
              <w:rPr>
                <w:sz w:val="24"/>
              </w:rPr>
              <w:t xml:space="preserve">不组织</w:t>
            </w:r>
            <w:r/>
          </w:p>
        </w:tc>
      </w:tr>
      <w:tr>
        <w:trPr>
          <w:jc w:val="center"/>
          <w:trHeight w:val="578"/>
        </w:trPr>
        <w:tc>
          <w:tcPr>
            <w:tcW w:w="988" w:type="dxa"/>
            <w:vAlign w:val="center"/>
            <w:vMerge w:val="continue"/>
            <w:textDirection w:val="lrTb"/>
            <w:noWrap w:val="false"/>
          </w:tcPr>
          <w:p>
            <w:pPr>
              <w:pStyle w:val="1068"/>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jc w:val="center"/>
              <w:rPr>
                <w:sz w:val="24"/>
              </w:rPr>
            </w:pPr>
            <w:r>
              <w:rPr>
                <w:sz w:val="24"/>
              </w:rPr>
              <w:t xml:space="preserve">磋商前答疑会</w:t>
            </w:r>
            <w:r/>
          </w:p>
        </w:tc>
        <w:tc>
          <w:tcPr>
            <w:tcW w:w="7253" w:type="dxa"/>
            <w:vAlign w:val="center"/>
            <w:textDirection w:val="lrTb"/>
            <w:noWrap w:val="false"/>
          </w:tcPr>
          <w:p>
            <w:pPr>
              <w:jc w:val="left"/>
              <w:rPr>
                <w:sz w:val="24"/>
              </w:rPr>
            </w:pPr>
            <w:r>
              <w:rPr>
                <w:sz w:val="24"/>
              </w:rPr>
              <w:t xml:space="preserve">不召开</w:t>
            </w:r>
            <w:r/>
          </w:p>
        </w:tc>
      </w:tr>
      <w:tr>
        <w:trPr>
          <w:jc w:val="center"/>
          <w:trHeight w:val="825"/>
        </w:trPr>
        <w:tc>
          <w:tcPr>
            <w:tcW w:w="988" w:type="dxa"/>
            <w:vAlign w:val="center"/>
            <w:textDirection w:val="lrTb"/>
            <w:noWrap w:val="false"/>
          </w:tcPr>
          <w:p>
            <w:pPr>
              <w:pStyle w:val="1068"/>
              <w:jc w:val="center"/>
              <w:rPr>
                <w:rFonts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253" w:type="dxa"/>
            <w:vAlign w:val="center"/>
            <w:textDirection w:val="lrTb"/>
            <w:noWrap w:val="false"/>
          </w:tcPr>
          <w:p>
            <w:pPr>
              <w:jc w:val="left"/>
              <w:rPr>
                <w:sz w:val="24"/>
              </w:rPr>
            </w:pPr>
            <w:r>
              <w:rPr>
                <w:rFonts w:ascii="Times New Roman" w:hAnsi="Times New Roman" w:eastAsia="宋体" w:cs="Times New Roman"/>
                <w:sz w:val="24"/>
              </w:rPr>
              <w:t xml:space="preserve">本项目采购标的对应的中小企业划分标准所属行业：</w:t>
            </w:r>
            <w:r>
              <w:rPr>
                <w:rFonts w:hint="eastAsia" w:ascii="Times New Roman" w:hAnsi="Times New Roman" w:eastAsia="宋体" w:cs="Times New Roman"/>
                <w:sz w:val="24"/>
              </w:rPr>
              <w:t xml:space="preserve"> 建筑业 </w:t>
            </w:r>
            <w:r/>
          </w:p>
        </w:tc>
      </w:tr>
      <w:tr>
        <w:trPr>
          <w:jc w:val="center"/>
          <w:trHeight w:val="591"/>
        </w:trPr>
        <w:tc>
          <w:tcPr>
            <w:tcW w:w="988" w:type="dxa"/>
            <w:vAlign w:val="center"/>
            <w:textDirection w:val="lrTb"/>
            <w:noWrap w:val="false"/>
          </w:tcPr>
          <w:p>
            <w:pPr>
              <w:pStyle w:val="1068"/>
              <w:jc w:val="center"/>
              <w:rPr>
                <w:rFonts w:ascii="Times New Roman" w:hAnsi="Times New Roman"/>
                <w:sz w:val="24"/>
                <w:szCs w:val="24"/>
              </w:rPr>
            </w:pPr>
            <w:r>
              <w:rPr>
                <w:rFonts w:ascii="Times New Roman" w:hAnsi="Times New Roman"/>
                <w:sz w:val="24"/>
                <w:szCs w:val="24"/>
              </w:rPr>
              <w:t xml:space="preserve">10.2</w:t>
            </w:r>
            <w:r/>
          </w:p>
        </w:tc>
        <w:tc>
          <w:tcPr>
            <w:tcW w:w="1701" w:type="dxa"/>
            <w:vAlign w:val="center"/>
            <w:textDirection w:val="lrTb"/>
            <w:noWrap w:val="false"/>
          </w:tcPr>
          <w:p>
            <w:pPr>
              <w:jc w:val="center"/>
              <w:rPr>
                <w:sz w:val="24"/>
              </w:rPr>
            </w:pPr>
            <w:r>
              <w:rPr>
                <w:sz w:val="24"/>
              </w:rPr>
              <w:t xml:space="preserve">报价</w:t>
            </w:r>
            <w:r/>
          </w:p>
        </w:tc>
        <w:tc>
          <w:tcPr>
            <w:tcW w:w="7253" w:type="dxa"/>
            <w:vAlign w:val="center"/>
            <w:textDirection w:val="lrTb"/>
            <w:noWrap w:val="false"/>
          </w:tcPr>
          <w:p>
            <w:pPr>
              <w:jc w:val="left"/>
              <w:rPr>
                <w:sz w:val="24"/>
              </w:rPr>
            </w:pPr>
            <w:r>
              <w:rPr>
                <w:sz w:val="24"/>
              </w:rPr>
              <w:t xml:space="preserve">报价的特殊规定：无</w:t>
            </w:r>
            <w:r/>
          </w:p>
        </w:tc>
      </w:tr>
      <w:tr>
        <w:trPr>
          <w:jc w:val="center"/>
          <w:trHeight w:val="566"/>
        </w:trPr>
        <w:tc>
          <w:tcPr>
            <w:tcW w:w="988" w:type="dxa"/>
            <w:vAlign w:val="center"/>
            <w:textDirection w:val="lrTb"/>
            <w:noWrap w:val="false"/>
          </w:tcPr>
          <w:p>
            <w:pPr>
              <w:pStyle w:val="1068"/>
              <w:jc w:val="center"/>
              <w:rPr>
                <w:rFonts w:ascii="Times New Roman" w:hAnsi="Times New Roman"/>
                <w:sz w:val="24"/>
                <w:szCs w:val="24"/>
              </w:rPr>
            </w:pPr>
            <w:r>
              <w:rPr>
                <w:rFonts w:ascii="Times New Roman" w:hAnsi="Times New Roman"/>
                <w:sz w:val="24"/>
                <w:szCs w:val="24"/>
              </w:rPr>
              <w:t xml:space="preserve">11.1</w:t>
            </w:r>
            <w:r/>
          </w:p>
        </w:tc>
        <w:tc>
          <w:tcPr>
            <w:tcW w:w="1701" w:type="dxa"/>
            <w:vAlign w:val="center"/>
            <w:textDirection w:val="lrTb"/>
            <w:noWrap w:val="false"/>
          </w:tcPr>
          <w:p>
            <w:pPr>
              <w:jc w:val="center"/>
              <w:rPr>
                <w:sz w:val="24"/>
              </w:rPr>
            </w:pPr>
            <w:r>
              <w:rPr>
                <w:sz w:val="24"/>
              </w:rPr>
              <w:t xml:space="preserve">磋商保证金</w:t>
            </w:r>
            <w:r/>
          </w:p>
        </w:tc>
        <w:tc>
          <w:tcPr>
            <w:tcW w:w="7253" w:type="dxa"/>
            <w:vAlign w:val="center"/>
            <w:textDirection w:val="lrTb"/>
            <w:noWrap w:val="false"/>
          </w:tcPr>
          <w:p>
            <w:pPr>
              <w:jc w:val="left"/>
              <w:rPr>
                <w:sz w:val="24"/>
              </w:rPr>
            </w:pPr>
            <w:r>
              <w:rPr>
                <w:rFonts w:hint="eastAsia"/>
                <w:sz w:val="24"/>
              </w:rPr>
              <w:t xml:space="preserve">免收</w:t>
            </w:r>
            <w:r/>
          </w:p>
        </w:tc>
      </w:tr>
      <w:tr>
        <w:trPr>
          <w:jc w:val="center"/>
          <w:trHeight w:val="545"/>
        </w:trPr>
        <w:tc>
          <w:tcPr>
            <w:tcW w:w="988" w:type="dxa"/>
            <w:vAlign w:val="center"/>
            <w:textDirection w:val="lrTb"/>
            <w:noWrap w:val="false"/>
          </w:tcPr>
          <w:p>
            <w:pPr>
              <w:pStyle w:val="1068"/>
              <w:jc w:val="center"/>
              <w:rPr>
                <w:rFonts w:ascii="Times New Roman" w:hAnsi="Times New Roman"/>
                <w:sz w:val="24"/>
                <w:szCs w:val="24"/>
              </w:rPr>
            </w:pPr>
            <w:r>
              <w:rPr>
                <w:rFonts w:ascii="Times New Roman" w:hAnsi="Times New Roman"/>
                <w:sz w:val="24"/>
                <w:szCs w:val="24"/>
              </w:rPr>
              <w:t xml:space="preserve">12.1</w:t>
            </w:r>
            <w:r/>
          </w:p>
        </w:tc>
        <w:tc>
          <w:tcPr>
            <w:tcW w:w="1701" w:type="dxa"/>
            <w:vAlign w:val="center"/>
            <w:textDirection w:val="lrTb"/>
            <w:noWrap w:val="false"/>
          </w:tcPr>
          <w:p>
            <w:pPr>
              <w:jc w:val="center"/>
              <w:rPr>
                <w:sz w:val="24"/>
              </w:rPr>
            </w:pPr>
            <w:r>
              <w:rPr>
                <w:sz w:val="24"/>
              </w:rPr>
              <w:t xml:space="preserve">响应有效期</w:t>
            </w:r>
            <w:r/>
          </w:p>
        </w:tc>
        <w:tc>
          <w:tcPr>
            <w:tcW w:w="7253" w:type="dxa"/>
            <w:vAlign w:val="center"/>
            <w:textDirection w:val="lrTb"/>
            <w:noWrap w:val="false"/>
          </w:tcPr>
          <w:p>
            <w:pPr>
              <w:jc w:val="lef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p>
        </w:tc>
      </w:tr>
      <w:tr>
        <w:trPr>
          <w:jc w:val="center"/>
          <w:trHeight w:val="589"/>
        </w:trPr>
        <w:tc>
          <w:tcPr>
            <w:tcW w:w="988" w:type="dxa"/>
            <w:vAlign w:val="center"/>
            <w:textDirection w:val="lrTb"/>
            <w:noWrap w:val="false"/>
          </w:tcPr>
          <w:p>
            <w:pPr>
              <w:pStyle w:val="1068"/>
              <w:jc w:val="center"/>
              <w:rPr>
                <w:rFonts w:ascii="Times New Roman" w:hAnsi="Times New Roman"/>
                <w:sz w:val="24"/>
                <w:szCs w:val="24"/>
              </w:rPr>
            </w:pPr>
            <w:r>
              <w:rPr>
                <w:rFonts w:ascii="Times New Roman" w:hAnsi="Times New Roman"/>
                <w:sz w:val="24"/>
                <w:szCs w:val="24"/>
              </w:rPr>
              <w:t xml:space="preserve">23.5</w:t>
            </w:r>
            <w:r/>
          </w:p>
        </w:tc>
        <w:tc>
          <w:tcPr>
            <w:tcW w:w="1701" w:type="dxa"/>
            <w:vAlign w:val="center"/>
            <w:textDirection w:val="lrTb"/>
            <w:noWrap w:val="false"/>
          </w:tcPr>
          <w:p>
            <w:pPr>
              <w:jc w:val="center"/>
              <w:rPr>
                <w:sz w:val="24"/>
              </w:rPr>
            </w:pPr>
            <w:r>
              <w:rPr>
                <w:sz w:val="24"/>
              </w:rPr>
              <w:t xml:space="preserve">分包</w:t>
            </w:r>
            <w:r/>
          </w:p>
        </w:tc>
        <w:tc>
          <w:tcPr>
            <w:tcW w:w="7253" w:type="dxa"/>
            <w:vAlign w:val="center"/>
            <w:textDirection w:val="lrTb"/>
            <w:noWrap w:val="false"/>
          </w:tcPr>
          <w:p>
            <w:pPr>
              <w:jc w:val="left"/>
              <w:rPr>
                <w:sz w:val="24"/>
                <w:u w:val="single"/>
              </w:rPr>
            </w:pPr>
            <w:r>
              <w:rPr>
                <w:sz w:val="24"/>
              </w:rPr>
              <w:t xml:space="preserve">本项目是否允许分包：不允许</w:t>
            </w:r>
            <w:r/>
          </w:p>
        </w:tc>
      </w:tr>
      <w:tr>
        <w:trPr>
          <w:jc w:val="center"/>
          <w:trHeight w:val="1455"/>
        </w:trPr>
        <w:tc>
          <w:tcPr>
            <w:tcW w:w="988" w:type="dxa"/>
            <w:vAlign w:val="center"/>
            <w:textDirection w:val="lrTb"/>
            <w:noWrap w:val="false"/>
          </w:tcPr>
          <w:p>
            <w:pPr>
              <w:pStyle w:val="1068"/>
              <w:jc w:val="center"/>
              <w:rPr>
                <w:rFonts w:ascii="Times New Roman" w:hAnsi="Times New Roman"/>
                <w:sz w:val="24"/>
                <w:szCs w:val="24"/>
              </w:rPr>
            </w:pPr>
            <w:r>
              <w:rPr>
                <w:rFonts w:ascii="Times New Roman" w:hAnsi="Times New Roman"/>
                <w:sz w:val="24"/>
                <w:szCs w:val="24"/>
              </w:rPr>
              <w:t xml:space="preserve">24.1.1</w:t>
            </w:r>
            <w:r/>
          </w:p>
        </w:tc>
        <w:tc>
          <w:tcPr>
            <w:tcW w:w="1701" w:type="dxa"/>
            <w:vAlign w:val="center"/>
            <w:textDirection w:val="lrTb"/>
            <w:noWrap w:val="false"/>
          </w:tcPr>
          <w:p>
            <w:pPr>
              <w:jc w:val="center"/>
              <w:rPr>
                <w:sz w:val="24"/>
              </w:rPr>
            </w:pPr>
            <w:r>
              <w:rPr>
                <w:sz w:val="24"/>
              </w:rPr>
              <w:t xml:space="preserve">询问</w:t>
            </w:r>
            <w:r/>
          </w:p>
        </w:tc>
        <w:tc>
          <w:tcPr>
            <w:tcW w:w="7253" w:type="dxa"/>
            <w:vAlign w:val="center"/>
            <w:textDirection w:val="lrTb"/>
            <w:noWrap w:val="false"/>
          </w:tcPr>
          <w:p>
            <w:pPr>
              <w:jc w:val="left"/>
              <w:rPr>
                <w:rFonts w:hint="eastAsia"/>
                <w:sz w:val="24"/>
                <w:highlight w:val="none"/>
              </w:rPr>
            </w:pPr>
            <w:r>
              <w:rPr>
                <w:sz w:val="24"/>
              </w:rPr>
              <w:t xml:space="preserve">询问送达形式：</w:t>
            </w:r>
            <w:r>
              <w:rPr>
                <w:rFonts w:hint="eastAsia"/>
                <w:sz w:val="24"/>
              </w:rPr>
              <w:t xml:space="preserve">书面原件形式递交。（注：询问函：① 必须加盖投标人公章；② 以采购代理机构收到时间为准。否则采购代理机构有权拒</w:t>
            </w:r>
            <w:r>
              <w:rPr>
                <w:rFonts w:hint="eastAsia"/>
                <w:sz w:val="24"/>
                <w:highlight w:val="none"/>
              </w:rPr>
              <w:t xml:space="preserve">收其询问函） </w:t>
            </w:r>
            <w:r/>
          </w:p>
          <w:p>
            <w:pPr>
              <w:jc w:val="left"/>
              <w:rPr>
                <w:sz w:val="24"/>
              </w:rPr>
            </w:pPr>
            <w:r>
              <w:rPr>
                <w:rFonts w:hint="eastAsia"/>
                <w:sz w:val="24"/>
                <w:highlight w:val="none"/>
              </w:rPr>
              <w:t xml:space="preserve">询问时间：20</w:t>
            </w:r>
            <w:r>
              <w:rPr>
                <w:rFonts w:hint="eastAsia"/>
                <w:sz w:val="24"/>
                <w:highlight w:val="none"/>
                <w:lang w:val="en-US" w:eastAsia="zh-CN"/>
              </w:rPr>
              <w:t xml:space="preserve">25</w:t>
            </w:r>
            <w:r>
              <w:rPr>
                <w:rFonts w:hint="eastAsia"/>
                <w:sz w:val="24"/>
                <w:highlight w:val="none"/>
              </w:rPr>
              <w:t xml:space="preserve">年</w:t>
            </w:r>
            <w:r>
              <w:rPr>
                <w:rFonts w:hint="eastAsia"/>
                <w:sz w:val="24"/>
                <w:highlight w:val="none"/>
                <w:lang w:val="en-US" w:eastAsia="zh-CN"/>
              </w:rPr>
              <w:t xml:space="preserve">12</w:t>
            </w:r>
            <w:r>
              <w:rPr>
                <w:rFonts w:hint="eastAsia"/>
                <w:sz w:val="24"/>
                <w:highlight w:val="none"/>
              </w:rPr>
              <w:t xml:space="preserve">月</w:t>
            </w:r>
            <w:r>
              <w:rPr>
                <w:rFonts w:hint="eastAsia"/>
                <w:sz w:val="24"/>
                <w:highlight w:val="none"/>
                <w:lang w:val="en-US" w:eastAsia="zh-CN"/>
              </w:rPr>
              <w:t xml:space="preserve">22</w:t>
            </w:r>
            <w:r>
              <w:rPr>
                <w:rFonts w:hint="eastAsia"/>
                <w:sz w:val="24"/>
                <w:highlight w:val="none"/>
              </w:rPr>
              <w:t xml:space="preserve">日</w:t>
            </w:r>
            <w:r>
              <w:rPr>
                <w:rFonts w:hint="eastAsia"/>
                <w:sz w:val="24"/>
                <w:highlight w:val="none"/>
                <w:lang w:val="en-US" w:eastAsia="zh-CN"/>
              </w:rPr>
              <w:t xml:space="preserve">20</w:t>
            </w:r>
            <w:r>
              <w:rPr>
                <w:rFonts w:hint="eastAsia"/>
                <w:sz w:val="24"/>
                <w:highlight w:val="none"/>
              </w:rPr>
              <w:t xml:space="preserve">:00前</w:t>
            </w:r>
            <w:r/>
          </w:p>
        </w:tc>
      </w:tr>
      <w:tr>
        <w:trPr>
          <w:jc w:val="center"/>
          <w:trHeight w:val="1523"/>
        </w:trPr>
        <w:tc>
          <w:tcPr>
            <w:tcW w:w="988" w:type="dxa"/>
            <w:vAlign w:val="center"/>
            <w:textDirection w:val="lrTb"/>
            <w:noWrap w:val="false"/>
          </w:tcPr>
          <w:p>
            <w:pPr>
              <w:pStyle w:val="1068"/>
              <w:jc w:val="center"/>
              <w:rPr>
                <w:rFonts w:ascii="Times New Roman" w:hAnsi="Times New Roman"/>
                <w:sz w:val="24"/>
                <w:szCs w:val="24"/>
              </w:rPr>
            </w:pPr>
            <w:r>
              <w:rPr>
                <w:rFonts w:ascii="Times New Roman" w:hAnsi="Times New Roman"/>
                <w:sz w:val="24"/>
                <w:szCs w:val="24"/>
              </w:rPr>
              <w:t xml:space="preserve">24.3</w:t>
            </w:r>
            <w:r/>
          </w:p>
        </w:tc>
        <w:tc>
          <w:tcPr>
            <w:tcW w:w="1701" w:type="dxa"/>
            <w:vAlign w:val="center"/>
            <w:textDirection w:val="lrTb"/>
            <w:noWrap w:val="false"/>
          </w:tcPr>
          <w:p>
            <w:pPr>
              <w:jc w:val="center"/>
              <w:rPr>
                <w:sz w:val="24"/>
              </w:rPr>
            </w:pPr>
            <w:r>
              <w:rPr>
                <w:sz w:val="24"/>
              </w:rPr>
              <w:t xml:space="preserve">联系方式</w:t>
            </w:r>
            <w:r/>
          </w:p>
        </w:tc>
        <w:tc>
          <w:tcPr>
            <w:tcW w:w="7253" w:type="dxa"/>
            <w:vAlign w:val="center"/>
            <w:textDirection w:val="lrTb"/>
            <w:noWrap w:val="false"/>
          </w:tcPr>
          <w:p>
            <w:pPr>
              <w:jc w:val="left"/>
              <w:rPr>
                <w:sz w:val="24"/>
              </w:rPr>
            </w:pPr>
            <w:r>
              <w:rPr>
                <w:sz w:val="24"/>
              </w:rPr>
              <w:t xml:space="preserve">接收询问和质疑的联系方式</w:t>
            </w:r>
            <w:r/>
          </w:p>
          <w:p>
            <w:pPr>
              <w:jc w:val="left"/>
              <w:rPr>
                <w:rFonts w:hint="eastAsia"/>
                <w:sz w:val="24"/>
              </w:rPr>
            </w:pPr>
            <w:r>
              <w:rPr>
                <w:rFonts w:hint="eastAsia"/>
                <w:sz w:val="24"/>
              </w:rPr>
              <w:t xml:space="preserve">联系部门：</w:t>
            </w:r>
            <w:r>
              <w:rPr>
                <w:rFonts w:hint="eastAsia"/>
                <w:sz w:val="24"/>
                <w:lang w:eastAsia="zh-CN"/>
              </w:rPr>
              <w:t xml:space="preserve">江苏恒卓工程管理咨询有限公司</w:t>
            </w:r>
            <w:r>
              <w:rPr>
                <w:rFonts w:hint="eastAsia"/>
                <w:sz w:val="24"/>
              </w:rPr>
              <w:t xml:space="preserve">；</w:t>
            </w:r>
            <w:r/>
          </w:p>
          <w:p>
            <w:pPr>
              <w:jc w:val="left"/>
              <w:rPr>
                <w:rFonts w:hint="eastAsia"/>
                <w:sz w:val="24"/>
              </w:rPr>
            </w:pPr>
            <w:r>
              <w:rPr>
                <w:rFonts w:hint="eastAsia"/>
                <w:sz w:val="24"/>
              </w:rPr>
              <w:t xml:space="preserve">联系电话：0519-68910808；</w:t>
            </w:r>
            <w:r/>
          </w:p>
          <w:p>
            <w:pPr>
              <w:jc w:val="left"/>
              <w:rPr>
                <w:sz w:val="24"/>
              </w:rPr>
            </w:pPr>
            <w:r>
              <w:rPr>
                <w:rFonts w:hint="eastAsia"/>
                <w:sz w:val="24"/>
              </w:rPr>
              <w:t xml:space="preserve">通讯地址：</w:t>
            </w:r>
            <w:r>
              <w:rPr>
                <w:rFonts w:hint="eastAsia"/>
                <w:sz w:val="24"/>
                <w:lang w:eastAsia="zh-CN"/>
              </w:rPr>
              <w:t xml:space="preserve">溧阳市游子吟大道19号</w:t>
            </w:r>
            <w:r>
              <w:rPr>
                <w:rFonts w:hint="eastAsia"/>
                <w:sz w:val="24"/>
              </w:rPr>
              <w:t xml:space="preserve">通用路桥大楼8楼。</w:t>
            </w:r>
            <w:r/>
          </w:p>
        </w:tc>
      </w:tr>
      <w:tr>
        <w:trPr>
          <w:jc w:val="center"/>
          <w:trHeight w:val="2113"/>
        </w:trPr>
        <w:tc>
          <w:tcPr>
            <w:tcW w:w="988" w:type="dxa"/>
            <w:vAlign w:val="center"/>
            <w:textDirection w:val="lrTb"/>
            <w:noWrap w:val="false"/>
          </w:tcPr>
          <w:p>
            <w:pPr>
              <w:pStyle w:val="1068"/>
              <w:jc w:val="center"/>
              <w:rPr>
                <w:rFonts w:ascii="Times New Roman" w:hAnsi="Times New Roman"/>
                <w:sz w:val="24"/>
                <w:szCs w:val="24"/>
              </w:rPr>
            </w:pPr>
            <w:r>
              <w:rPr>
                <w:rFonts w:ascii="Times New Roman" w:hAnsi="Times New Roman"/>
                <w:sz w:val="24"/>
                <w:szCs w:val="24"/>
              </w:rPr>
              <w:t xml:space="preserve">25</w:t>
            </w:r>
            <w:r/>
          </w:p>
        </w:tc>
        <w:tc>
          <w:tcPr>
            <w:tcW w:w="1701" w:type="dxa"/>
            <w:vAlign w:val="center"/>
            <w:textDirection w:val="lrTb"/>
            <w:noWrap w:val="false"/>
          </w:tcPr>
          <w:p>
            <w:pPr>
              <w:jc w:val="center"/>
              <w:rPr>
                <w:sz w:val="24"/>
              </w:rPr>
            </w:pPr>
            <w:r>
              <w:rPr>
                <w:sz w:val="24"/>
              </w:rPr>
              <w:t xml:space="preserve">代理费</w:t>
            </w:r>
            <w:r/>
          </w:p>
        </w:tc>
        <w:tc>
          <w:tcPr>
            <w:tcW w:w="7253" w:type="dxa"/>
            <w:vAlign w:val="center"/>
            <w:textDirection w:val="lrTb"/>
            <w:noWrap w:val="false"/>
          </w:tcPr>
          <w:p>
            <w:pPr>
              <w:jc w:val="left"/>
              <w:rPr>
                <w:rFonts w:hint="default" w:ascii="Times New Roman" w:hAnsi="Times New Roman" w:eastAsia="宋体" w:cs="Times New Roman"/>
                <w:sz w:val="24"/>
              </w:rPr>
            </w:pPr>
            <w:r>
              <w:rPr>
                <w:rFonts w:hint="default" w:ascii="Times New Roman" w:hAnsi="Times New Roman" w:eastAsia="宋体" w:cs="Times New Roman"/>
                <w:sz w:val="24"/>
              </w:rPr>
              <w:t xml:space="preserve">收费对象：成交供应商</w:t>
            </w:r>
            <w:r/>
          </w:p>
          <w:p>
            <w:pPr>
              <w:jc w:val="left"/>
              <w:spacing w:before="84" w:after="84"/>
              <w:rPr>
                <w:rFonts w:hint="default" w:ascii="Times New Roman" w:hAnsi="Times New Roman" w:eastAsia="宋体" w:cs="Times New Roman"/>
                <w:sz w:val="24"/>
              </w:rPr>
            </w:pPr>
            <w:r>
              <w:rPr>
                <w:rFonts w:hint="eastAsia" w:ascii="Times New Roman" w:hAnsi="Times New Roman" w:eastAsia="宋体" w:cs="Times New Roman"/>
                <w:sz w:val="24"/>
              </w:rPr>
              <w:t xml:space="preserve">收费标准：</w:t>
            </w:r>
            <w:r>
              <w:rPr>
                <w:rFonts w:hint="eastAsia" w:ascii="Times New Roman" w:hAnsi="Times New Roman" w:eastAsia="宋体" w:cs="Times New Roman"/>
                <w:sz w:val="24"/>
                <w:lang w:eastAsia="zh-CN"/>
              </w:rPr>
              <w:t xml:space="preserve">代理费</w:t>
            </w:r>
            <w:r>
              <w:rPr>
                <w:rFonts w:hint="eastAsia" w:ascii="Times New Roman" w:hAnsi="Times New Roman" w:eastAsia="宋体" w:cs="Times New Roman"/>
                <w:sz w:val="24"/>
                <w:lang w:val="en-US" w:eastAsia="zh-CN"/>
              </w:rPr>
              <w:t xml:space="preserve">及编标费</w:t>
            </w:r>
            <w:r>
              <w:rPr>
                <w:rFonts w:hint="eastAsia" w:ascii="Times New Roman" w:hAnsi="Times New Roman" w:eastAsia="宋体" w:cs="Times New Roman"/>
                <w:sz w:val="24"/>
                <w:lang w:eastAsia="zh-CN"/>
              </w:rPr>
              <w:t xml:space="preserve">按《</w:t>
            </w:r>
            <w:r>
              <w:rPr>
                <w:rFonts w:hint="eastAsia" w:ascii="Times New Roman" w:hAnsi="Times New Roman" w:eastAsia="宋体" w:cs="Times New Roman"/>
                <w:sz w:val="24"/>
                <w:lang w:val="en-US" w:eastAsia="zh-CN"/>
              </w:rPr>
              <w:t xml:space="preserve">南渡</w:t>
            </w:r>
            <w:r>
              <w:rPr>
                <w:rFonts w:hint="eastAsia" w:ascii="Times New Roman" w:hAnsi="Times New Roman" w:eastAsia="宋体" w:cs="Times New Roman"/>
                <w:sz w:val="24"/>
                <w:lang w:eastAsia="zh-CN"/>
              </w:rPr>
              <w:t xml:space="preserve">镇委托中介机构收费服务标准》</w:t>
            </w:r>
            <w:r>
              <w:rPr>
                <w:rFonts w:hint="eastAsia" w:ascii="Times New Roman" w:hAnsi="Times New Roman" w:eastAsia="宋体" w:cs="Times New Roman"/>
                <w:b/>
                <w:bCs/>
                <w:sz w:val="24"/>
              </w:rPr>
              <w:t xml:space="preserve">。</w:t>
            </w:r>
            <w:r/>
          </w:p>
          <w:p>
            <w:pPr>
              <w:jc w:val="left"/>
              <w:spacing w:before="84" w:after="84"/>
              <w:rPr>
                <w:rFonts w:hint="default" w:ascii="Times New Roman" w:hAnsi="Times New Roman" w:eastAsia="宋体" w:cs="Times New Roman"/>
                <w:sz w:val="24"/>
              </w:rPr>
            </w:pPr>
            <w:r>
              <w:rPr>
                <w:rFonts w:hint="eastAsia" w:ascii="Times New Roman" w:hAnsi="Times New Roman" w:eastAsia="宋体" w:cs="Times New Roman"/>
                <w:sz w:val="24"/>
              </w:rPr>
              <w:t xml:space="preserve">收款单位：江苏恒卓工程管理咨询有限公司溧阳分公司</w:t>
            </w:r>
            <w:r/>
          </w:p>
          <w:p>
            <w:pPr>
              <w:jc w:val="left"/>
              <w:spacing w:before="84" w:after="84"/>
              <w:rPr>
                <w:sz w:val="24"/>
              </w:rPr>
            </w:pPr>
            <w:r>
              <w:rPr>
                <w:rFonts w:hint="eastAsia" w:ascii="Times New Roman" w:hAnsi="Times New Roman" w:eastAsia="宋体" w:cs="Times New Roman"/>
                <w:sz w:val="24"/>
              </w:rPr>
              <w:t xml:space="preserve">缴纳时间：领取中标通知书前。</w:t>
            </w:r>
            <w:r/>
          </w:p>
        </w:tc>
      </w:tr>
      <w:tr>
        <w:trPr>
          <w:jc w:val="center"/>
          <w:trHeight w:val="20"/>
        </w:trPr>
        <w:tc>
          <w:tcPr>
            <w:tcW w:w="988" w:type="dxa"/>
            <w:vAlign w:val="center"/>
            <w:textDirection w:val="lrTb"/>
            <w:noWrap w:val="false"/>
          </w:tcPr>
          <w:p>
            <w:pPr>
              <w:pStyle w:val="860"/>
              <w:jc w:val="center"/>
              <w:rPr>
                <w:rFonts w:ascii="Times New Roman" w:hAnsi="Times New Roman"/>
                <w:sz w:val="24"/>
                <w:szCs w:val="24"/>
              </w:rPr>
            </w:pPr>
            <w:r>
              <w:rPr>
                <w:rFonts w:hint="eastAsia" w:ascii="宋体" w:hAnsi="宋体" w:eastAsia="宋体" w:cs="宋体"/>
                <w:sz w:val="24"/>
                <w:szCs w:val="24"/>
                <w:lang w:val="en-US" w:eastAsia="zh-CN"/>
              </w:rPr>
              <w:t xml:space="preserve">28</w:t>
            </w:r>
            <w:r/>
          </w:p>
        </w:tc>
        <w:tc>
          <w:tcPr>
            <w:tcW w:w="1701" w:type="dxa"/>
            <w:vAlign w:val="center"/>
            <w:textDirection w:val="lrTb"/>
            <w:noWrap w:val="false"/>
          </w:tcPr>
          <w:p>
            <w:pPr>
              <w:ind w:left="0" w:right="0" w:firstLine="0"/>
              <w:jc w:val="center"/>
              <w:spacing w:before="0" w:after="0" w:line="240" w:lineRule="auto"/>
              <w:rPr>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其他</w:t>
            </w:r>
            <w:r/>
          </w:p>
        </w:tc>
        <w:tc>
          <w:tcPr>
            <w:tcW w:w="7253" w:type="dxa"/>
            <w:vAlign w:val="center"/>
            <w:textDirection w:val="lrTb"/>
            <w:noWrap w:val="false"/>
          </w:tcPr>
          <w:p>
            <w:pPr>
              <w:ind w:left="0" w:right="0" w:firstLine="0"/>
              <w:spacing w:before="0" w:after="0" w:line="240" w:lineRule="auto"/>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评审过程中出现下列情形之一的，评审委员会应当启动异常低价投标（ 响应）审查程序：</w:t>
            </w:r>
            <w:r/>
          </w:p>
          <w:p>
            <w:pPr>
              <w:ind w:left="0" w:right="0" w:firstLine="0"/>
              <w:spacing w:before="0" w:after="0" w:line="240" w:lineRule="auto"/>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① 投标（响应）报价低于采购项目预算50%的，即投标（响应）报价&lt;采购项目预算×50%；</w:t>
            </w:r>
            <w:r/>
          </w:p>
          <w:p>
            <w:pPr>
              <w:ind w:left="0" w:right="0" w:firstLine="0"/>
              <w:spacing w:before="0" w:after="0" w:line="240" w:lineRule="auto"/>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② 投标（响应）报价低于采购项目最高限价45% 的，即投标（响应）报价&lt;采购项目最高限价×45%；</w:t>
            </w:r>
            <w:r/>
          </w:p>
          <w:p>
            <w:pPr>
              <w:ind w:left="0" w:right="0" w:firstLine="0"/>
              <w:spacing w:before="0" w:after="0" w:line="240" w:lineRule="auto"/>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③ 评审委员会认定的供应商报价过低、有可能影响产品质量或者不能诚信履约的其他情形。</w:t>
            </w:r>
            <w:r/>
          </w:p>
          <w:p>
            <w:pPr>
              <w:ind w:left="0" w:right="0" w:firstLine="0"/>
              <w:spacing w:before="0" w:after="0" w:line="240" w:lineRule="auto"/>
              <w:rPr>
                <w:rFonts w:hint="eastAsia"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bl>
    <w:p>
      <w:pPr>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40" w:right="1800" w:bottom="1440" w:left="1800" w:header="851" w:footer="851" w:gutter="0"/>
          <w:pgNumType w:start="1"/>
          <w:cols w:num="1" w:sep="0" w:space="1701"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1031"/>
        <w:jc w:val="left"/>
        <w:spacing w:before="0" w:line="360" w:lineRule="auto"/>
        <w:tabs>
          <w:tab w:val="center" w:pos="4592" w:leader="none"/>
          <w:tab w:val="left" w:pos="7860" w:leader="none"/>
        </w:tabs>
        <w:rPr>
          <w:rFonts w:ascii="Times New Roman" w:hAnsi="Times New Roman" w:eastAsia="宋体"/>
          <w:sz w:val="28"/>
        </w:rPr>
      </w:pPr>
      <w:r/>
      <w:bookmarkStart w:id="73" w:name="_Toc520356143"/>
      <w:r/>
      <w:bookmarkStart w:id="74" w:name="_Toc127151518"/>
      <w:r>
        <w:rPr>
          <w:rFonts w:ascii="Times New Roman" w:hAnsi="Times New Roman" w:eastAsia="宋体"/>
          <w:sz w:val="28"/>
        </w:rPr>
        <w:tab/>
      </w:r>
      <w:bookmarkStart w:id="75" w:name="_Toc150480756"/>
      <w:r/>
      <w:bookmarkStart w:id="76" w:name="_Toc195842883"/>
      <w:r/>
      <w:bookmarkStart w:id="77" w:name="_Toc151193906"/>
      <w:r/>
      <w:bookmarkStart w:id="78" w:name="_Toc226309762"/>
      <w:r/>
      <w:bookmarkStart w:id="79" w:name="_Toc226965708"/>
      <w:r/>
      <w:bookmarkStart w:id="80" w:name="_Toc151193760"/>
      <w:r/>
      <w:bookmarkStart w:id="81" w:name="_Toc151193616"/>
      <w:r/>
      <w:bookmarkStart w:id="82" w:name="_Toc265228356"/>
      <w:r/>
      <w:bookmarkStart w:id="83" w:name="_Toc150509269"/>
      <w:r/>
      <w:bookmarkStart w:id="84" w:name="_Toc151193832"/>
      <w:r/>
      <w:bookmarkStart w:id="85" w:name="_Toc226965791"/>
      <w:r/>
      <w:bookmarkStart w:id="86" w:name="_Toc305158860"/>
      <w:r/>
      <w:bookmarkStart w:id="87" w:name="_Toc150774723"/>
      <w:r/>
      <w:bookmarkStart w:id="88" w:name="_Toc142311020"/>
      <w:r/>
      <w:bookmarkStart w:id="89" w:name="_Toc226337214"/>
      <w:r/>
      <w:bookmarkStart w:id="90" w:name="_Toc264969208"/>
      <w:r/>
      <w:bookmarkStart w:id="91" w:name="_Toc150774618"/>
      <w:r/>
      <w:bookmarkStart w:id="92" w:name="_Toc305158786"/>
      <w:r/>
      <w:bookmarkStart w:id="93" w:name="_Toc151190145"/>
      <w:r/>
      <w:bookmarkStart w:id="94" w:name="_Toc151193688"/>
      <w:r>
        <w:rPr>
          <w:rFonts w:ascii="Times New Roman" w:hAnsi="Times New Roman" w:eastAsia="宋体"/>
          <w:sz w:val="28"/>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sz w:val="28"/>
        </w:rPr>
        <w:tab/>
      </w:r>
      <w:r/>
    </w:p>
    <w:p>
      <w:pPr>
        <w:numPr>
          <w:ilvl w:val="0"/>
          <w:numId w:val="8"/>
        </w:numPr>
        <w:ind w:left="357" w:hanging="357"/>
        <w:spacing w:line="360" w:lineRule="auto"/>
        <w:tabs>
          <w:tab w:val="left" w:pos="360" w:leader="none"/>
        </w:tabs>
        <w:rPr>
          <w:sz w:val="24"/>
        </w:rPr>
        <w:outlineLvl w:val="1"/>
      </w:pPr>
      <w:r/>
      <w:bookmarkStart w:id="95" w:name="_Toc264969209"/>
      <w:r/>
      <w:bookmarkStart w:id="96" w:name="_Toc305158787"/>
      <w:r/>
      <w:bookmarkStart w:id="97" w:name="_Toc305158861"/>
      <w:r/>
      <w:bookmarkStart w:id="98" w:name="_Toc265228357"/>
      <w:r>
        <w:rPr>
          <w:sz w:val="24"/>
        </w:rPr>
        <w:t xml:space="preserve">采购人、采购代理机构、供应商</w:t>
      </w:r>
      <w:bookmarkEnd w:id="95"/>
      <w:r/>
      <w:bookmarkEnd w:id="96"/>
      <w:r/>
      <w:bookmarkEnd w:id="97"/>
      <w:r/>
      <w:bookmarkEnd w:id="98"/>
      <w:r>
        <w:rPr>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rPr>
        <w:outlineLvl w:val="1"/>
      </w:pPr>
      <w:r/>
      <w:bookmarkStart w:id="99" w:name="_Toc150774620"/>
      <w:r/>
      <w:bookmarkStart w:id="100" w:name="_Toc150509271"/>
      <w:r/>
      <w:bookmarkStart w:id="101" w:name="_Toc151193762"/>
      <w:r/>
      <w:bookmarkStart w:id="102" w:name="_Toc127161434"/>
      <w:r/>
      <w:bookmarkStart w:id="103" w:name="_Toc164608634"/>
      <w:r/>
      <w:bookmarkStart w:id="104" w:name="_Toc226309764"/>
      <w:r/>
      <w:bookmarkStart w:id="105" w:name="_Toc195842885"/>
      <w:r/>
      <w:bookmarkStart w:id="106" w:name="_Toc151193908"/>
      <w:r/>
      <w:bookmarkStart w:id="107" w:name="_Toc226337216"/>
      <w:r/>
      <w:bookmarkStart w:id="108" w:name="_Toc226965710"/>
      <w:r/>
      <w:bookmarkStart w:id="109" w:name="_Toc127151721"/>
      <w:r/>
      <w:bookmarkStart w:id="110" w:name="_Toc226965793"/>
      <w:r/>
      <w:bookmarkStart w:id="111" w:name="_Toc164229215"/>
      <w:r/>
      <w:bookmarkStart w:id="112" w:name="_Toc127151520"/>
      <w:r/>
      <w:bookmarkStart w:id="113" w:name="_Toc305158788"/>
      <w:r/>
      <w:bookmarkStart w:id="114" w:name="_Toc151190147"/>
      <w:r/>
      <w:bookmarkStart w:id="115" w:name="_Toc164608789"/>
      <w:r/>
      <w:bookmarkStart w:id="116" w:name="_Toc264969210"/>
      <w:r/>
      <w:bookmarkStart w:id="117" w:name="_Toc150774725"/>
      <w:r/>
      <w:bookmarkStart w:id="118" w:name="_Toc305158862"/>
      <w:r/>
      <w:bookmarkStart w:id="119" w:name="_Toc150480758"/>
      <w:r/>
      <w:bookmarkStart w:id="120" w:name="_Toc151193618"/>
      <w:r/>
      <w:bookmarkStart w:id="121" w:name="_Toc151193834"/>
      <w:r/>
      <w:bookmarkStart w:id="122" w:name="_Toc142311022"/>
      <w:r/>
      <w:bookmarkStart w:id="123" w:name="_Toc149720813"/>
      <w:r/>
      <w:bookmarkStart w:id="124" w:name="_Toc164351614"/>
      <w:r/>
      <w:bookmarkStart w:id="125" w:name="_Toc151193690"/>
      <w:r/>
      <w:bookmarkStart w:id="126" w:name="_Toc164229361"/>
      <w:r/>
      <w:bookmarkStart w:id="127" w:name="_Toc265228358"/>
      <w:r>
        <w:rPr>
          <w:sz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sz w:val="24"/>
        </w:rPr>
        <w:t xml:space="preserve">、项目属性、科研仪器设备采购</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是否属于科研仪器设备采购见《供应商须知资料表》。</w:t>
      </w:r>
      <w:r/>
    </w:p>
    <w:p>
      <w:pPr>
        <w:numPr>
          <w:ilvl w:val="0"/>
          <w:numId w:val="8"/>
        </w:numPr>
        <w:ind w:left="357" w:hanging="357"/>
        <w:spacing w:line="360" w:lineRule="auto"/>
        <w:tabs>
          <w:tab w:val="left" w:pos="360" w:leader="none"/>
        </w:tabs>
        <w:rPr>
          <w:sz w:val="24"/>
        </w:rPr>
        <w:outlineLvl w:val="1"/>
      </w:pPr>
      <w:r>
        <w:rPr>
          <w:sz w:val="24"/>
        </w:rPr>
        <w:t xml:space="preserve">现场考察、磋商前答疑会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8" w:name="_Toc150480760"/>
      <w:r/>
      <w:bookmarkStart w:id="129" w:name="_Toc151193692"/>
      <w:r/>
      <w:bookmarkStart w:id="130" w:name="_Toc305158864"/>
      <w:r/>
      <w:bookmarkStart w:id="131" w:name="_Toc265228360"/>
      <w:r/>
      <w:bookmarkStart w:id="132" w:name="_Toc151193764"/>
      <w:r/>
      <w:bookmarkStart w:id="133" w:name="_Toc264969212"/>
      <w:r/>
      <w:bookmarkStart w:id="134" w:name="_Toc195842887"/>
      <w:r/>
      <w:bookmarkStart w:id="135" w:name="_Toc127151522"/>
      <w:r/>
      <w:bookmarkStart w:id="136" w:name="_Toc151193910"/>
      <w:r/>
      <w:bookmarkStart w:id="137" w:name="_Toc151190149"/>
      <w:r/>
      <w:bookmarkStart w:id="138" w:name="_Toc151193836"/>
      <w:r/>
      <w:bookmarkStart w:id="139" w:name="_Toc150774727"/>
      <w:r/>
      <w:bookmarkStart w:id="140" w:name="_Toc226965712"/>
      <w:r/>
      <w:bookmarkStart w:id="141" w:name="_Toc150509273"/>
      <w:r/>
      <w:bookmarkStart w:id="142" w:name="_Toc226309766"/>
      <w:r/>
      <w:bookmarkStart w:id="143" w:name="_Toc142311024"/>
      <w:r/>
      <w:bookmarkStart w:id="144" w:name="_Toc305158790"/>
      <w:r/>
      <w:bookmarkStart w:id="145" w:name="_Toc226337218"/>
      <w:r/>
      <w:bookmarkStart w:id="146" w:name="_Toc520356146"/>
      <w:r/>
      <w:bookmarkStart w:id="147" w:name="_Toc151193620"/>
      <w:r/>
      <w:bookmarkStart w:id="148" w:name="_Toc226965795"/>
      <w:r/>
      <w:bookmarkStart w:id="149" w:name="_Toc150774622"/>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8"/>
        </w:numPr>
        <w:spacing w:line="360" w:lineRule="auto"/>
        <w:rPr>
          <w:sz w:val="24"/>
        </w:rPr>
      </w:pPr>
      <w:r>
        <w:rPr>
          <w:sz w:val="24"/>
        </w:rPr>
        <w:t xml:space="preserve">中小企业定义：</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lang w:val="en-US" w:eastAsia="zh-CN"/>
        </w:rPr>
        <w:t xml:space="preserve">4.2.1.1</w:t>
      </w: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4.2.1.2</w:t>
      </w: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p>
    <w:p>
      <w:pPr>
        <w:numPr>
          <w:ilvl w:val="0"/>
          <w:numId w:val="0"/>
        </w:numPr>
        <w:ind w:left="1985"/>
        <w:spacing w:line="360" w:lineRule="auto"/>
        <w:tabs>
          <w:tab w:val="left" w:pos="1980" w:leader="none"/>
          <w:tab w:val="left" w:pos="2035" w:leader="none"/>
          <w:tab w:val="left" w:pos="2885" w:leader="none"/>
          <w:tab w:val="left" w:pos="2977" w:leader="none"/>
        </w:tabs>
        <w:rPr>
          <w:sz w:val="24"/>
        </w:rPr>
      </w:pPr>
      <w:r>
        <w:rPr>
          <w:rFonts w:hint="eastAsia"/>
          <w:sz w:val="24"/>
          <w:lang w:val="en-US" w:eastAsia="zh-CN"/>
        </w:rPr>
        <w:t xml:space="preserve">4.2.1.3</w:t>
      </w:r>
      <w:r>
        <w:rPr>
          <w:sz w:val="24"/>
        </w:rPr>
        <w:t xml:space="preserve">在货物采购项目中，供应商提供的货物既有中小企业制造货物，也有大型企业制造货物的，不享受中小企业扶持政策。</w:t>
      </w:r>
      <w:r/>
    </w:p>
    <w:p>
      <w:pPr>
        <w:numPr>
          <w:ilvl w:val="0"/>
          <w:numId w:val="0"/>
        </w:numPr>
        <w:ind w:left="1985"/>
        <w:spacing w:line="360" w:lineRule="auto"/>
        <w:tabs>
          <w:tab w:val="left" w:pos="1980" w:leader="none"/>
          <w:tab w:val="left" w:pos="2035" w:leader="none"/>
          <w:tab w:val="left" w:pos="2885" w:leader="none"/>
          <w:tab w:val="left" w:pos="2977" w:leader="none"/>
        </w:tabs>
        <w:rPr>
          <w:sz w:val="24"/>
        </w:rPr>
      </w:pPr>
      <w:r>
        <w:rPr>
          <w:rFonts w:hint="eastAsia"/>
          <w:color w:val="000000"/>
          <w:sz w:val="24"/>
          <w:lang w:val="en-US" w:eastAsia="zh-CN"/>
        </w:rPr>
        <w:t xml:space="preserve">4.2.1.4</w:t>
      </w: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lang w:val="en-US" w:eastAsia="zh-CN"/>
        </w:rPr>
        <w:t xml:space="preserve">4.2.3.1</w:t>
      </w:r>
      <w:r>
        <w:rPr>
          <w:color w:val="000000"/>
          <w:sz w:val="24"/>
        </w:rPr>
        <w:t xml:space="preserve">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4.2.3.2</w:t>
      </w:r>
      <w:r>
        <w:rPr>
          <w:sz w:val="24"/>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4.2.3.3</w:t>
      </w:r>
      <w:r>
        <w:rPr>
          <w:sz w:val="24"/>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4.2.3.4</w:t>
      </w:r>
      <w:r>
        <w:rPr>
          <w:sz w:val="24"/>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4.2.3.5</w:t>
      </w:r>
      <w:r>
        <w:rPr>
          <w:sz w:val="24"/>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rPr>
      </w:pPr>
      <w:r>
        <w:rPr>
          <w:rFonts w:hint="eastAsia"/>
          <w:sz w:val="24"/>
          <w:lang w:val="en-US" w:eastAsia="zh-CN"/>
        </w:rPr>
        <w:t xml:space="preserve">4.2.3.6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本项目是否专门面向中小企业预留采购份额见第一章《采购邀请》。</w:t>
      </w:r>
      <w:r/>
    </w:p>
    <w:p>
      <w:pPr>
        <w:numPr>
          <w:ilvl w:val="2"/>
          <w:numId w:val="8"/>
        </w:numPr>
        <w:spacing w:line="360" w:lineRule="auto"/>
        <w:rPr>
          <w:sz w:val="24"/>
        </w:rPr>
      </w:pPr>
      <w:r>
        <w:rPr>
          <w:sz w:val="24"/>
        </w:rPr>
        <w:t xml:space="preserve">采购标的对应的中小企业划分标准所属行业见《供应商须知资料表》。</w:t>
      </w:r>
      <w:r/>
    </w:p>
    <w:p>
      <w:pPr>
        <w:numPr>
          <w:ilvl w:val="2"/>
          <w:numId w:val="8"/>
        </w:numPr>
        <w:spacing w:line="360" w:lineRule="auto"/>
        <w:rPr>
          <w:sz w:val="24"/>
        </w:rPr>
      </w:pPr>
      <w:r>
        <w:rPr>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8"/>
        </w:numPr>
        <w:spacing w:line="360" w:lineRule="auto"/>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8"/>
        </w:numPr>
        <w:spacing w:line="360" w:lineRule="auto"/>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sz w:val="24"/>
        </w:rPr>
      </w:pPr>
      <w:r>
        <w:rPr>
          <w:rFonts w:hint="eastAsia"/>
          <w:sz w:val="24"/>
        </w:rPr>
        <w:t xml:space="preserve">4.7 绿色采购政策</w:t>
      </w:r>
      <w:r/>
    </w:p>
    <w:p>
      <w:pPr>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4.7.2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 4.7.3 优先使用低挥发性有机化合物产品</w:t>
      </w:r>
      <w:r/>
    </w:p>
    <w:p>
      <w:pPr>
        <w:ind w:left="900"/>
        <w:spacing w:line="360" w:lineRule="auto"/>
        <w:tabs>
          <w:tab w:val="left" w:pos="2014" w:leader="none"/>
        </w:tabs>
        <w:rPr>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rPr>
        <w:outlineLvl w:val="1"/>
      </w:pPr>
      <w:r>
        <w:rPr>
          <w:sz w:val="24"/>
        </w:rPr>
        <w:t xml:space="preserve">响应费用</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50" w:name="_1.8_计量单位"/>
      <w:r/>
      <w:bookmarkEnd w:id="150"/>
      <w:r/>
      <w:r/>
    </w:p>
    <w:p>
      <w:pPr>
        <w:pStyle w:val="1031"/>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sz w:val="24"/>
        </w:rPr>
        <w:outlineLvl w:val="1"/>
      </w:pPr>
      <w:r/>
      <w:bookmarkStart w:id="151" w:name="_Toc151193765"/>
      <w:r/>
      <w:bookmarkStart w:id="152" w:name="_Toc142311025"/>
      <w:r/>
      <w:bookmarkStart w:id="153" w:name="_Toc195842888"/>
      <w:r/>
      <w:bookmarkStart w:id="154" w:name="_Toc127151724"/>
      <w:r/>
      <w:bookmarkStart w:id="155" w:name="_Toc226309767"/>
      <w:r/>
      <w:bookmarkStart w:id="156" w:name="_Toc520356147"/>
      <w:r/>
      <w:bookmarkStart w:id="157" w:name="_Toc150509274"/>
      <w:r/>
      <w:bookmarkStart w:id="158" w:name="_Toc226965713"/>
      <w:r/>
      <w:bookmarkStart w:id="159" w:name="_Toc127161437"/>
      <w:r/>
      <w:bookmarkStart w:id="160" w:name="_Toc164608637"/>
      <w:r/>
      <w:bookmarkStart w:id="161" w:name="_Toc151190150"/>
      <w:r/>
      <w:bookmarkStart w:id="162" w:name="_Toc151193837"/>
      <w:r/>
      <w:bookmarkStart w:id="163" w:name="_Toc164229364"/>
      <w:r/>
      <w:bookmarkStart w:id="164" w:name="_Toc151193621"/>
      <w:r/>
      <w:bookmarkStart w:id="165" w:name="_Toc127151523"/>
      <w:r/>
      <w:bookmarkStart w:id="166" w:name="_Toc226965796"/>
      <w:r/>
      <w:bookmarkStart w:id="167" w:name="_Toc164351617"/>
      <w:r/>
      <w:bookmarkStart w:id="168" w:name="_Toc226337219"/>
      <w:r/>
      <w:bookmarkStart w:id="169" w:name="_Toc164608792"/>
      <w:r/>
      <w:bookmarkStart w:id="170" w:name="_Toc151193911"/>
      <w:r/>
      <w:bookmarkStart w:id="171" w:name="_Toc150774623"/>
      <w:r/>
      <w:bookmarkStart w:id="172" w:name="_Toc265228361"/>
      <w:r/>
      <w:bookmarkStart w:id="173" w:name="_Toc305158865"/>
      <w:r/>
      <w:bookmarkStart w:id="174" w:name="_Toc150480761"/>
      <w:r/>
      <w:bookmarkStart w:id="175" w:name="_Toc151193693"/>
      <w:r/>
      <w:bookmarkStart w:id="176" w:name="_Toc264969213"/>
      <w:r/>
      <w:bookmarkStart w:id="177" w:name="_Toc164229218"/>
      <w:r/>
      <w:bookmarkStart w:id="178" w:name="_Toc150774728"/>
      <w:r/>
      <w:bookmarkStart w:id="179" w:name="_Toc305158791"/>
      <w:r/>
      <w:bookmarkStart w:id="180" w:name="_Toc149720816"/>
      <w:r>
        <w:rPr>
          <w:sz w:val="24"/>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采购邀请</w:t>
      </w:r>
      <w:r/>
    </w:p>
    <w:p>
      <w:pPr>
        <w:numPr>
          <w:ilvl w:val="0"/>
          <w:numId w:val="10"/>
        </w:numPr>
        <w:ind w:left="1440" w:firstLine="5"/>
        <w:spacing w:line="360" w:lineRule="auto"/>
        <w:tabs>
          <w:tab w:val="left" w:pos="1980" w:leader="none"/>
          <w:tab w:val="left" w:pos="2520"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合同草案条款</w:t>
      </w:r>
      <w:r/>
    </w:p>
    <w:p>
      <w:pPr>
        <w:numPr>
          <w:ilvl w:val="0"/>
          <w:numId w:val="10"/>
        </w:numPr>
        <w:ind w:left="1440" w:firstLine="5"/>
        <w:spacing w:line="360" w:lineRule="auto"/>
        <w:tabs>
          <w:tab w:val="left" w:pos="1980" w:leader="none"/>
          <w:tab w:val="left" w:pos="2520" w:leader="none"/>
        </w:tabs>
        <w:rPr>
          <w:sz w:val="24"/>
        </w:rPr>
      </w:pPr>
      <w:r>
        <w:rPr>
          <w:sz w:val="24"/>
        </w:rPr>
        <w:t xml:space="preserve">响应文件格式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1" w:name="_Toc516367020"/>
      <w:r/>
      <w:bookmarkStart w:id="182" w:name="_Toc151193624"/>
      <w:r/>
      <w:bookmarkStart w:id="183" w:name="_Toc127151526"/>
      <w:r/>
      <w:bookmarkStart w:id="184" w:name="_Toc305158868"/>
      <w:r/>
      <w:bookmarkStart w:id="185" w:name="_Toc142311028"/>
      <w:r/>
      <w:bookmarkStart w:id="186" w:name="_Toc151193840"/>
      <w:r/>
      <w:bookmarkStart w:id="187" w:name="_Toc150774626"/>
      <w:r/>
      <w:bookmarkStart w:id="188" w:name="_Toc226309770"/>
      <w:r/>
      <w:bookmarkStart w:id="189" w:name="_Toc265228364"/>
      <w:r/>
      <w:bookmarkStart w:id="190" w:name="_Toc150509277"/>
      <w:r/>
      <w:bookmarkStart w:id="191" w:name="_Toc226965799"/>
      <w:r/>
      <w:bookmarkStart w:id="192" w:name="_Toc151190153"/>
      <w:r/>
      <w:bookmarkStart w:id="193" w:name="_Toc226337222"/>
      <w:r/>
      <w:bookmarkStart w:id="194" w:name="_Toc264969216"/>
      <w:r/>
      <w:bookmarkStart w:id="195" w:name="_Toc520356150"/>
      <w:r/>
      <w:bookmarkStart w:id="196" w:name="_Toc195842891"/>
      <w:r/>
      <w:bookmarkStart w:id="197" w:name="_Toc151193696"/>
      <w:r/>
      <w:bookmarkStart w:id="198" w:name="_Toc150774731"/>
      <w:r/>
      <w:bookmarkStart w:id="199" w:name="_Toc305158794"/>
      <w:r/>
      <w:bookmarkStart w:id="200" w:name="_Toc151193914"/>
      <w:r/>
      <w:bookmarkStart w:id="201" w:name="_Toc150480764"/>
      <w:r/>
      <w:bookmarkStart w:id="202" w:name="_Toc151193768"/>
      <w:r/>
      <w:bookmarkStart w:id="203" w:name="_Toc226965716"/>
      <w:r/>
      <w:r/>
    </w:p>
    <w:p>
      <w:pPr>
        <w:pStyle w:val="1031"/>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1"/>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sz w:val="24"/>
        </w:rPr>
        <w:outlineLvl w:val="1"/>
      </w:pPr>
      <w:r/>
      <w:bookmarkStart w:id="204" w:name="_Toc164229368"/>
      <w:r/>
      <w:bookmarkStart w:id="205" w:name="_Toc151193697"/>
      <w:r/>
      <w:bookmarkStart w:id="206" w:name="_Toc151193841"/>
      <w:r/>
      <w:bookmarkStart w:id="207" w:name="_Toc151193769"/>
      <w:r/>
      <w:bookmarkStart w:id="208" w:name="_Toc164351621"/>
      <w:r/>
      <w:bookmarkStart w:id="209" w:name="_Toc151190154"/>
      <w:r/>
      <w:bookmarkStart w:id="210" w:name="_Toc226309771"/>
      <w:r/>
      <w:bookmarkStart w:id="211" w:name="_Toc150774732"/>
      <w:r/>
      <w:bookmarkStart w:id="212" w:name="_Toc195842892"/>
      <w:r/>
      <w:bookmarkStart w:id="213" w:name="_Toc305158795"/>
      <w:r/>
      <w:bookmarkStart w:id="214" w:name="_Toc151193915"/>
      <w:r/>
      <w:bookmarkStart w:id="215" w:name="_Toc520356151"/>
      <w:r/>
      <w:bookmarkStart w:id="216" w:name="_Toc127161441"/>
      <w:r/>
      <w:bookmarkStart w:id="217" w:name="_Toc226337223"/>
      <w:r/>
      <w:bookmarkStart w:id="218" w:name="_Toc150480765"/>
      <w:r/>
      <w:bookmarkStart w:id="219" w:name="_Toc305158869"/>
      <w:r/>
      <w:bookmarkStart w:id="220" w:name="_Toc164608796"/>
      <w:r/>
      <w:bookmarkStart w:id="221" w:name="_Toc516367021"/>
      <w:r/>
      <w:bookmarkStart w:id="222" w:name="_Toc127151527"/>
      <w:r/>
      <w:bookmarkStart w:id="223" w:name="_Toc142311029"/>
      <w:r/>
      <w:bookmarkStart w:id="224" w:name="_Toc264969217"/>
      <w:r/>
      <w:bookmarkStart w:id="225" w:name="_Toc150774627"/>
      <w:r/>
      <w:bookmarkStart w:id="226" w:name="_Toc149720820"/>
      <w:r/>
      <w:bookmarkStart w:id="227" w:name="_Toc150509278"/>
      <w:r/>
      <w:bookmarkStart w:id="228" w:name="_Toc226965800"/>
      <w:r/>
      <w:bookmarkStart w:id="229" w:name="_Toc265228365"/>
      <w:r/>
      <w:bookmarkStart w:id="230" w:name="_Toc151193625"/>
      <w:r/>
      <w:bookmarkStart w:id="231" w:name="_Toc127151728"/>
      <w:r/>
      <w:bookmarkStart w:id="232" w:name="_Toc226965717"/>
      <w:r/>
      <w:bookmarkStart w:id="233" w:name="_Toc164608641"/>
      <w:r/>
      <w:bookmarkStart w:id="234" w:name="_Toc164229222"/>
      <w:r>
        <w:rPr>
          <w:sz w:val="24"/>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sz w:val="24"/>
        </w:rPr>
        <w:t xml:space="preserve">及磋商语言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sz w:val="24"/>
        </w:rPr>
        <w:outlineLvl w:val="1"/>
      </w:pPr>
      <w:r/>
      <w:bookmarkStart w:id="235" w:name="_Toc516367022"/>
      <w:r/>
      <w:bookmarkStart w:id="236" w:name="_Ref467306676"/>
      <w:r/>
      <w:bookmarkStart w:id="237" w:name="_Ref467306195"/>
      <w:r/>
      <w:bookmarkStart w:id="238" w:name="_Toc164608642"/>
      <w:r/>
      <w:bookmarkStart w:id="239" w:name="_Toc164229369"/>
      <w:r/>
      <w:bookmarkStart w:id="240" w:name="_Toc195842893"/>
      <w:r/>
      <w:bookmarkStart w:id="241" w:name="_Toc150509279"/>
      <w:r/>
      <w:bookmarkStart w:id="242" w:name="_Toc226965801"/>
      <w:r/>
      <w:bookmarkStart w:id="243" w:name="_Toc164229223"/>
      <w:r/>
      <w:bookmarkStart w:id="244" w:name="_Toc226965718"/>
      <w:r/>
      <w:bookmarkStart w:id="245" w:name="_Toc305158796"/>
      <w:r/>
      <w:bookmarkStart w:id="246" w:name="_Toc305158870"/>
      <w:r/>
      <w:bookmarkStart w:id="247" w:name="_Toc151193698"/>
      <w:r/>
      <w:bookmarkStart w:id="248" w:name="_Toc264969218"/>
      <w:r/>
      <w:bookmarkStart w:id="249" w:name="_Toc151190155"/>
      <w:r/>
      <w:bookmarkStart w:id="250" w:name="_Toc151193916"/>
      <w:r/>
      <w:bookmarkStart w:id="251" w:name="_Toc226309772"/>
      <w:r/>
      <w:bookmarkStart w:id="252" w:name="_Toc151193770"/>
      <w:r/>
      <w:bookmarkStart w:id="253" w:name="_Toc151193842"/>
      <w:r/>
      <w:bookmarkStart w:id="254" w:name="_Toc149720821"/>
      <w:r/>
      <w:bookmarkStart w:id="255" w:name="_Toc226337224"/>
      <w:r/>
      <w:bookmarkStart w:id="256" w:name="_Toc520356152"/>
      <w:r/>
      <w:bookmarkStart w:id="257" w:name="_Toc164351622"/>
      <w:r/>
      <w:bookmarkStart w:id="258" w:name="_Toc265228366"/>
      <w:r/>
      <w:bookmarkStart w:id="259" w:name="_Toc150774733"/>
      <w:r/>
      <w:bookmarkStart w:id="260" w:name="_Toc127151528"/>
      <w:r/>
      <w:bookmarkStart w:id="261" w:name="_Toc151193626"/>
      <w:r/>
      <w:bookmarkStart w:id="262" w:name="_Toc127151729"/>
      <w:r/>
      <w:bookmarkStart w:id="263" w:name="_Toc150480766"/>
      <w:r/>
      <w:bookmarkStart w:id="264" w:name="_Toc164608797"/>
      <w:r/>
      <w:bookmarkStart w:id="265" w:name="_Toc142311030"/>
      <w:r/>
      <w:bookmarkStart w:id="266" w:name="_Toc127161442"/>
      <w:r/>
      <w:bookmarkStart w:id="267" w:name="_Toc150774628"/>
      <w:r>
        <w:rPr>
          <w:sz w:val="24"/>
        </w:rPr>
        <w:t xml:space="preserve">响应文件</w:t>
      </w:r>
      <w:bookmarkEnd w:id="235"/>
      <w:r/>
      <w:bookmarkEnd w:id="236"/>
      <w:r/>
      <w:bookmarkEnd w:id="237"/>
      <w:r>
        <w:rPr>
          <w:sz w:val="24"/>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sz w:val="24"/>
        </w:rPr>
      </w:pPr>
      <w:r/>
      <w:bookmarkStart w:id="268"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供应商认为应附的其他材料。</w:t>
      </w:r>
      <w:bookmarkEnd w:id="268"/>
      <w:r/>
      <w:r/>
    </w:p>
    <w:p>
      <w:pPr>
        <w:numPr>
          <w:ilvl w:val="0"/>
          <w:numId w:val="8"/>
        </w:numPr>
        <w:ind w:left="357" w:hanging="357"/>
        <w:spacing w:line="360" w:lineRule="auto"/>
        <w:tabs>
          <w:tab w:val="left" w:pos="360" w:leader="none"/>
        </w:tabs>
        <w:rPr>
          <w:sz w:val="24"/>
        </w:rPr>
        <w:outlineLvl w:val="1"/>
      </w:pPr>
      <w:r/>
      <w:bookmarkStart w:id="269" w:name="_Toc151193772"/>
      <w:r/>
      <w:bookmarkStart w:id="270" w:name="_Toc164229371"/>
      <w:r/>
      <w:bookmarkStart w:id="271" w:name="_Toc164229225"/>
      <w:r/>
      <w:bookmarkStart w:id="272" w:name="_Toc151190157"/>
      <w:r/>
      <w:bookmarkStart w:id="273" w:name="_Toc150774735"/>
      <w:r/>
      <w:bookmarkStart w:id="274" w:name="_Toc150509281"/>
      <w:r/>
      <w:bookmarkStart w:id="275" w:name="_Toc150774630"/>
      <w:r/>
      <w:bookmarkStart w:id="276" w:name="_Toc520356155"/>
      <w:r/>
      <w:bookmarkStart w:id="277" w:name="_Toc142311032"/>
      <w:r/>
      <w:bookmarkStart w:id="278" w:name="_Toc149720823"/>
      <w:r/>
      <w:bookmarkStart w:id="279" w:name="_Toc151193628"/>
      <w:r/>
      <w:bookmarkStart w:id="280" w:name="_Toc127151530"/>
      <w:r/>
      <w:bookmarkStart w:id="281" w:name="_Toc151193918"/>
      <w:r/>
      <w:bookmarkStart w:id="282" w:name="_Toc195842895"/>
      <w:r/>
      <w:bookmarkStart w:id="283" w:name="_Toc127151731"/>
      <w:r/>
      <w:bookmarkStart w:id="284" w:name="_Toc127161444"/>
      <w:r/>
      <w:bookmarkStart w:id="285" w:name="_Toc164608799"/>
      <w:r/>
      <w:bookmarkStart w:id="286" w:name="_Toc151193700"/>
      <w:r/>
      <w:bookmarkStart w:id="287" w:name="_Toc164351624"/>
      <w:r/>
      <w:bookmarkStart w:id="288" w:name="_Toc151193844"/>
      <w:r/>
      <w:bookmarkStart w:id="289" w:name="_Toc150480768"/>
      <w:r/>
      <w:bookmarkStart w:id="290" w:name="_Toc164608644"/>
      <w:r>
        <w:rPr>
          <w:sz w:val="24"/>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sz w:val="24"/>
        </w:rPr>
      </w:pPr>
      <w:r>
        <w:rPr>
          <w:sz w:val="24"/>
        </w:rPr>
        <w:t xml:space="preserve">所有响应均以人民币报价。</w:t>
      </w:r>
      <w:r/>
    </w:p>
    <w:p>
      <w:pPr>
        <w:numPr>
          <w:ilvl w:val="1"/>
          <w:numId w:val="8"/>
        </w:numPr>
        <w:spacing w:line="360" w:lineRule="auto"/>
        <w:tabs>
          <w:tab w:val="left" w:pos="1080"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8"/>
        </w:numPr>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sz w:val="24"/>
        </w:rPr>
      </w:pPr>
      <w:r>
        <w:rPr>
          <w:sz w:val="24"/>
        </w:rPr>
        <w:t xml:space="preserve">按照竞争性磋商文件要求完成本项</w:t>
      </w:r>
      <w:r>
        <w:rPr>
          <w:rFonts w:hint="eastAsia"/>
          <w:sz w:val="24"/>
        </w:rPr>
        <w:t xml:space="preserve">目的全部相关工程或服务费用。</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8"/>
        </w:numPr>
        <w:ind w:left="357" w:hanging="357"/>
        <w:spacing w:line="360" w:lineRule="auto"/>
        <w:tabs>
          <w:tab w:val="left" w:pos="360" w:leader="none"/>
        </w:tabs>
        <w:rPr>
          <w:sz w:val="24"/>
        </w:rPr>
        <w:outlineLvl w:val="1"/>
      </w:pPr>
      <w:r>
        <w:rPr>
          <w:sz w:val="24"/>
        </w:rPr>
        <w:t xml:space="preserve">响应有效期</w:t>
      </w:r>
      <w:r/>
    </w:p>
    <w:p>
      <w:pPr>
        <w:numPr>
          <w:ilvl w:val="1"/>
          <w:numId w:val="8"/>
        </w:numPr>
        <w:ind w:left="1077" w:hanging="720"/>
        <w:spacing w:line="360" w:lineRule="auto"/>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291" w:name="_Toc151193921"/>
      <w:r/>
      <w:bookmarkStart w:id="292" w:name="_Toc149720826"/>
      <w:r/>
      <w:bookmarkStart w:id="293" w:name="_Toc195842898"/>
      <w:r/>
      <w:bookmarkStart w:id="294" w:name="_Toc164229374"/>
      <w:r/>
      <w:bookmarkStart w:id="295" w:name="_Toc151193631"/>
      <w:r/>
      <w:bookmarkStart w:id="296" w:name="_Toc151193703"/>
      <w:r/>
      <w:bookmarkStart w:id="297" w:name="_Toc150480771"/>
      <w:r/>
      <w:bookmarkStart w:id="298" w:name="_Toc226965723"/>
      <w:r/>
      <w:bookmarkStart w:id="299" w:name="_Toc305158875"/>
      <w:r/>
      <w:bookmarkStart w:id="300" w:name="_Toc151193775"/>
      <w:r/>
      <w:bookmarkStart w:id="301" w:name="_Toc520356158"/>
      <w:r/>
      <w:bookmarkStart w:id="302" w:name="_Toc164608647"/>
      <w:r/>
      <w:bookmarkStart w:id="303" w:name="_Toc265228371"/>
      <w:r/>
      <w:bookmarkStart w:id="304" w:name="_Toc151193847"/>
      <w:r/>
      <w:bookmarkStart w:id="305" w:name="_Toc127151533"/>
      <w:r/>
      <w:bookmarkStart w:id="306" w:name="_Toc151190160"/>
      <w:r/>
      <w:bookmarkStart w:id="307" w:name="_Toc142311035"/>
      <w:r/>
      <w:bookmarkStart w:id="308" w:name="_Toc305158801"/>
      <w:r/>
      <w:bookmarkStart w:id="309" w:name="_Toc226337229"/>
      <w:r/>
      <w:bookmarkStart w:id="310" w:name="_Toc226309777"/>
      <w:r/>
      <w:bookmarkStart w:id="311" w:name="_Toc164608802"/>
      <w:r/>
      <w:bookmarkStart w:id="312" w:name="_Toc226965806"/>
      <w:r/>
      <w:bookmarkStart w:id="313" w:name="_Toc164351627"/>
      <w:r/>
      <w:bookmarkStart w:id="314" w:name="_Toc150509284"/>
      <w:r/>
      <w:bookmarkStart w:id="315" w:name="_Toc150774633"/>
      <w:r/>
      <w:bookmarkStart w:id="316" w:name="_Toc264969223"/>
      <w:r/>
      <w:bookmarkStart w:id="317" w:name="_Toc127151734"/>
      <w:r/>
      <w:bookmarkStart w:id="318" w:name="_Toc164229228"/>
      <w:r/>
      <w:bookmarkStart w:id="319" w:name="_Toc127161447"/>
      <w:r/>
      <w:bookmarkStart w:id="320" w:name="_Toc150774738"/>
      <w:r>
        <w:rPr>
          <w:sz w:val="24"/>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sz w:val="24"/>
        </w:rPr>
        <w:t xml:space="preserve">、盖章</w:t>
      </w:r>
      <w:r/>
    </w:p>
    <w:p>
      <w:pPr>
        <w:numPr>
          <w:ilvl w:val="1"/>
          <w:numId w:val="8"/>
        </w:numPr>
        <w:spacing w:line="360" w:lineRule="auto"/>
        <w:tabs>
          <w:tab w:val="left" w:pos="1080" w:leader="none"/>
        </w:tabs>
        <w:rPr>
          <w:sz w:val="24"/>
        </w:rPr>
      </w:pPr>
      <w:r/>
      <w:bookmarkStart w:id="321" w:name="_Toc127151534"/>
      <w:r/>
      <w:bookmarkStart w:id="322" w:name="_Toc150774739"/>
      <w:r/>
      <w:bookmarkStart w:id="323" w:name="_Toc142311036"/>
      <w:r/>
      <w:bookmarkStart w:id="324" w:name="_Toc150480772"/>
      <w:r/>
      <w:bookmarkStart w:id="325" w:name="_Toc520356159"/>
      <w:r/>
      <w:bookmarkStart w:id="326" w:name="_Toc226309778"/>
      <w:r/>
      <w:bookmarkStart w:id="327" w:name="_Toc226965724"/>
      <w:r/>
      <w:bookmarkStart w:id="328" w:name="_Toc226965807"/>
      <w:r/>
      <w:bookmarkStart w:id="329" w:name="_Toc151193776"/>
      <w:r/>
      <w:bookmarkStart w:id="330" w:name="_Toc151193848"/>
      <w:r/>
      <w:bookmarkStart w:id="331" w:name="_Toc151193704"/>
      <w:r/>
      <w:bookmarkStart w:id="332" w:name="_Toc305158876"/>
      <w:r/>
      <w:bookmarkStart w:id="333" w:name="_Toc265228372"/>
      <w:r/>
      <w:bookmarkStart w:id="334" w:name="_Toc264969224"/>
      <w:r/>
      <w:bookmarkStart w:id="335" w:name="_Toc151193922"/>
      <w:r/>
      <w:bookmarkStart w:id="336" w:name="_Toc150509285"/>
      <w:r/>
      <w:bookmarkStart w:id="337" w:name="_Toc151193632"/>
      <w:r/>
      <w:bookmarkStart w:id="338" w:name="_Toc226337230"/>
      <w:r/>
      <w:bookmarkStart w:id="339" w:name="_Toc305158802"/>
      <w:r/>
      <w:bookmarkStart w:id="340" w:name="_Toc150774634"/>
      <w:r/>
      <w:bookmarkStart w:id="341" w:name="_Toc195842899"/>
      <w:r/>
      <w:bookmarkStart w:id="342" w:name="_Toc151190161"/>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31"/>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sz w:val="24"/>
        </w:rPr>
        <w:outlineLvl w:val="1"/>
      </w:pPr>
      <w:r/>
      <w:bookmarkStart w:id="343" w:name="_Toc127151535"/>
      <w:r/>
      <w:bookmarkStart w:id="344" w:name="_Toc150774635"/>
      <w:r/>
      <w:bookmarkStart w:id="345" w:name="_Toc164351629"/>
      <w:r/>
      <w:bookmarkStart w:id="346" w:name="_Toc164608804"/>
      <w:r/>
      <w:bookmarkStart w:id="347" w:name="_Toc127151736"/>
      <w:r/>
      <w:bookmarkStart w:id="348" w:name="_Toc164608649"/>
      <w:r/>
      <w:bookmarkStart w:id="349" w:name="_Toc149720828"/>
      <w:r/>
      <w:bookmarkStart w:id="350" w:name="_Toc195842900"/>
      <w:r/>
      <w:bookmarkStart w:id="351" w:name="_Toc226337231"/>
      <w:r/>
      <w:bookmarkStart w:id="352" w:name="_Toc150480773"/>
      <w:r/>
      <w:bookmarkStart w:id="353" w:name="_Toc226309779"/>
      <w:r/>
      <w:bookmarkStart w:id="354" w:name="_Toc520356160"/>
      <w:r/>
      <w:bookmarkStart w:id="355" w:name="_Toc151193705"/>
      <w:r/>
      <w:bookmarkStart w:id="356" w:name="_Toc127161449"/>
      <w:r/>
      <w:bookmarkStart w:id="357" w:name="_Toc226965725"/>
      <w:r/>
      <w:bookmarkStart w:id="358" w:name="_Toc226965808"/>
      <w:r/>
      <w:bookmarkStart w:id="359" w:name="_Toc151190162"/>
      <w:r/>
      <w:bookmarkStart w:id="360" w:name="_Toc305158877"/>
      <w:r/>
      <w:bookmarkStart w:id="361" w:name="_Toc151193923"/>
      <w:r/>
      <w:bookmarkStart w:id="362" w:name="_Toc151193777"/>
      <w:r/>
      <w:bookmarkStart w:id="363" w:name="_Toc142311037"/>
      <w:r/>
      <w:bookmarkStart w:id="364" w:name="_Toc150509286"/>
      <w:r/>
      <w:bookmarkStart w:id="365" w:name="_Toc305158803"/>
      <w:r/>
      <w:bookmarkStart w:id="366" w:name="_Toc164229230"/>
      <w:r/>
      <w:bookmarkStart w:id="367" w:name="_Toc151193849"/>
      <w:r/>
      <w:bookmarkStart w:id="368" w:name="_Toc264969225"/>
      <w:r/>
      <w:bookmarkStart w:id="369" w:name="_Toc150774740"/>
      <w:r/>
      <w:bookmarkStart w:id="370" w:name="_Toc164229376"/>
      <w:r/>
      <w:bookmarkStart w:id="371" w:name="_Toc265228373"/>
      <w:r/>
      <w:bookmarkStart w:id="372" w:name="_Toc151193633"/>
      <w:r>
        <w:rPr>
          <w:sz w:val="24"/>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本项目使用“苏采云”平台。供应商根据竞争性磋商文件及“苏采云”供应商操作手册要求编制、生成并提交电子响应文件</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sz w:val="24"/>
        </w:rPr>
        <w:outlineLvl w:val="1"/>
      </w:pPr>
      <w:r/>
      <w:bookmarkStart w:id="373" w:name="_Toc305158804"/>
      <w:r/>
      <w:bookmarkStart w:id="374" w:name="_Toc150774741"/>
      <w:r/>
      <w:bookmarkStart w:id="375" w:name="_Toc151193706"/>
      <w:r/>
      <w:bookmarkStart w:id="376" w:name="_Toc151190163"/>
      <w:r/>
      <w:bookmarkStart w:id="377" w:name="_Toc164229231"/>
      <w:r/>
      <w:bookmarkStart w:id="378" w:name="_Toc150480774"/>
      <w:r/>
      <w:bookmarkStart w:id="379" w:name="_Toc149720829"/>
      <w:r/>
      <w:bookmarkStart w:id="380" w:name="_Toc164608650"/>
      <w:r/>
      <w:bookmarkStart w:id="381" w:name="_Toc264969226"/>
      <w:r/>
      <w:bookmarkStart w:id="382" w:name="_Toc151193634"/>
      <w:r/>
      <w:bookmarkStart w:id="383" w:name="_Toc151193778"/>
      <w:r/>
      <w:bookmarkStart w:id="384" w:name="_Toc226337232"/>
      <w:r/>
      <w:bookmarkStart w:id="385" w:name="_Toc127151737"/>
      <w:r/>
      <w:bookmarkStart w:id="386" w:name="_Toc164229377"/>
      <w:r/>
      <w:bookmarkStart w:id="387" w:name="_Toc195842901"/>
      <w:r/>
      <w:bookmarkStart w:id="388" w:name="_Toc226965726"/>
      <w:r/>
      <w:bookmarkStart w:id="389" w:name="_Toc164351630"/>
      <w:r/>
      <w:bookmarkStart w:id="390" w:name="_Toc127151536"/>
      <w:r/>
      <w:bookmarkStart w:id="391" w:name="_Toc127161450"/>
      <w:r/>
      <w:bookmarkStart w:id="392" w:name="_Toc305158878"/>
      <w:r/>
      <w:bookmarkStart w:id="393" w:name="_Toc226965809"/>
      <w:r/>
      <w:bookmarkStart w:id="394" w:name="_Toc520356161"/>
      <w:r/>
      <w:bookmarkStart w:id="395" w:name="_Toc164608805"/>
      <w:r/>
      <w:bookmarkStart w:id="396" w:name="_Toc150509287"/>
      <w:r/>
      <w:bookmarkStart w:id="397" w:name="_Toc151193924"/>
      <w:r/>
      <w:bookmarkStart w:id="398" w:name="_Toc142311038"/>
      <w:r/>
      <w:bookmarkStart w:id="399" w:name="_Toc150774636"/>
      <w:r/>
      <w:bookmarkStart w:id="400" w:name="_Toc265228374"/>
      <w:r/>
      <w:bookmarkStart w:id="401" w:name="_Toc226309780"/>
      <w:r/>
      <w:bookmarkStart w:id="402" w:name="_Toc151193850"/>
      <w:r>
        <w:rPr>
          <w:sz w:val="24"/>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本项目使用“苏采云”平台。供应商根据竞争性磋商文件及“苏采云”供应商操作手册要求编制、生成并提交电子响应文件</w:t>
      </w:r>
      <w:r>
        <w:rPr>
          <w:sz w:val="24"/>
        </w:rPr>
        <w:t xml:space="preserve">。</w:t>
      </w:r>
      <w:r/>
    </w:p>
    <w:p>
      <w:pPr>
        <w:numPr>
          <w:ilvl w:val="0"/>
          <w:numId w:val="8"/>
        </w:numPr>
        <w:ind w:left="357" w:hanging="357"/>
        <w:spacing w:line="360" w:lineRule="auto"/>
        <w:tabs>
          <w:tab w:val="left" w:pos="360" w:leader="none"/>
        </w:tabs>
        <w:rPr>
          <w:sz w:val="24"/>
        </w:rPr>
        <w:outlineLvl w:val="1"/>
      </w:pPr>
      <w:r/>
      <w:bookmarkStart w:id="403" w:name="_Toc151193851"/>
      <w:r/>
      <w:bookmarkStart w:id="404" w:name="_Toc151193779"/>
      <w:r/>
      <w:bookmarkStart w:id="405" w:name="_Toc149720830"/>
      <w:r/>
      <w:bookmarkStart w:id="406" w:name="_Toc164608806"/>
      <w:r/>
      <w:bookmarkStart w:id="407" w:name="_Toc265228375"/>
      <w:r/>
      <w:bookmarkStart w:id="408" w:name="_Toc127151537"/>
      <w:r/>
      <w:bookmarkStart w:id="409" w:name="_Toc195842902"/>
      <w:r/>
      <w:bookmarkStart w:id="410" w:name="_Toc151193925"/>
      <w:r/>
      <w:bookmarkStart w:id="411" w:name="_Toc226309781"/>
      <w:r/>
      <w:bookmarkStart w:id="412" w:name="_Toc150774742"/>
      <w:r/>
      <w:bookmarkStart w:id="413" w:name="_Toc226965727"/>
      <w:r/>
      <w:bookmarkStart w:id="414" w:name="_Toc226337233"/>
      <w:r/>
      <w:bookmarkStart w:id="415" w:name="_Toc305158805"/>
      <w:r/>
      <w:bookmarkStart w:id="416" w:name="_Toc150774637"/>
      <w:r/>
      <w:bookmarkStart w:id="417" w:name="_Toc164608651"/>
      <w:r/>
      <w:bookmarkStart w:id="418" w:name="_Toc151190164"/>
      <w:r/>
      <w:bookmarkStart w:id="419" w:name="_Toc150480775"/>
      <w:r/>
      <w:bookmarkStart w:id="420" w:name="_Toc264969227"/>
      <w:r/>
      <w:bookmarkStart w:id="421" w:name="_Toc305158879"/>
      <w:r/>
      <w:bookmarkStart w:id="422" w:name="_Toc164229378"/>
      <w:r/>
      <w:bookmarkStart w:id="423" w:name="_Toc127161451"/>
      <w:r/>
      <w:bookmarkStart w:id="424" w:name="_Toc150509288"/>
      <w:r/>
      <w:bookmarkStart w:id="425" w:name="_Toc164229232"/>
      <w:r/>
      <w:bookmarkStart w:id="426" w:name="_Toc226965810"/>
      <w:r/>
      <w:bookmarkStart w:id="427" w:name="_Toc142311039"/>
      <w:r/>
      <w:bookmarkStart w:id="428" w:name="_Toc520356162"/>
      <w:r/>
      <w:bookmarkStart w:id="429" w:name="_Toc127151738"/>
      <w:r/>
      <w:bookmarkStart w:id="430" w:name="_Toc164351631"/>
      <w:r/>
      <w:bookmarkStart w:id="431" w:name="_Toc151193707"/>
      <w:r/>
      <w:bookmarkStart w:id="432" w:name="_Toc151193635"/>
      <w:r>
        <w:rPr>
          <w:sz w:val="24"/>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1031"/>
        <w:spacing w:before="0" w:line="360" w:lineRule="auto"/>
        <w:rPr>
          <w:rFonts w:ascii="Times New Roman" w:hAnsi="Times New Roman" w:eastAsia="宋体"/>
          <w:sz w:val="28"/>
        </w:rPr>
      </w:pPr>
      <w:r/>
      <w:bookmarkStart w:id="433" w:name="_Toc151193780"/>
      <w:r/>
      <w:bookmarkStart w:id="434" w:name="_Toc265228376"/>
      <w:r/>
      <w:bookmarkStart w:id="435" w:name="_Toc151193852"/>
      <w:r/>
      <w:bookmarkStart w:id="436" w:name="_Toc305158880"/>
      <w:r/>
      <w:bookmarkStart w:id="437" w:name="_Toc151193636"/>
      <w:r/>
      <w:bookmarkStart w:id="438" w:name="_Toc226309782"/>
      <w:r/>
      <w:bookmarkStart w:id="439" w:name="_Toc150774743"/>
      <w:r/>
      <w:bookmarkStart w:id="440" w:name="_Toc226965811"/>
      <w:r/>
      <w:bookmarkStart w:id="441" w:name="_Toc127151538"/>
      <w:r/>
      <w:bookmarkStart w:id="442" w:name="_Toc195842903"/>
      <w:r/>
      <w:bookmarkStart w:id="443" w:name="_Toc226337234"/>
      <w:r/>
      <w:bookmarkStart w:id="444" w:name="_Toc150774638"/>
      <w:r/>
      <w:bookmarkStart w:id="445" w:name="_Toc264969228"/>
      <w:r/>
      <w:bookmarkStart w:id="446" w:name="_Toc150509289"/>
      <w:r/>
      <w:bookmarkStart w:id="447" w:name="_Toc151193926"/>
      <w:r/>
      <w:bookmarkStart w:id="448" w:name="_Toc520356163"/>
      <w:r/>
      <w:bookmarkStart w:id="449" w:name="_Toc151190165"/>
      <w:r/>
      <w:bookmarkStart w:id="450" w:name="_Toc142311040"/>
      <w:r/>
      <w:bookmarkStart w:id="451" w:name="_Toc226965728"/>
      <w:r/>
      <w:bookmarkStart w:id="452" w:name="_Toc151193708"/>
      <w:r/>
      <w:bookmarkStart w:id="453" w:name="_Toc150480776"/>
      <w:r/>
      <w:bookmarkStart w:id="454" w:name="_Toc305158806"/>
      <w:r>
        <w:rPr>
          <w:rFonts w:ascii="Times New Roman" w:hAnsi="Times New Roman" w:eastAsia="宋体"/>
          <w:sz w:val="28"/>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sz w:val="28"/>
        </w:rPr>
        <w:t xml:space="preserve">评审</w:t>
      </w:r>
      <w:r/>
    </w:p>
    <w:p>
      <w:pPr>
        <w:numPr>
          <w:ilvl w:val="0"/>
          <w:numId w:val="8"/>
        </w:numPr>
        <w:ind w:left="357" w:hanging="357"/>
        <w:spacing w:line="360" w:lineRule="auto"/>
        <w:tabs>
          <w:tab w:val="left" w:pos="360" w:leader="none"/>
        </w:tabs>
        <w:rPr>
          <w:sz w:val="24"/>
        </w:rPr>
        <w:outlineLvl w:val="1"/>
      </w:pPr>
      <w:r>
        <w:rPr>
          <w:sz w:val="24"/>
        </w:rPr>
        <w:t xml:space="preserve">响应文件的</w:t>
      </w:r>
      <w:r>
        <w:rPr>
          <w:rFonts w:hint="eastAsia"/>
          <w:sz w:val="24"/>
        </w:rPr>
        <w:t xml:space="preserve">解密与</w:t>
      </w:r>
      <w:r>
        <w:rPr>
          <w:sz w:val="24"/>
        </w:rPr>
        <w:t xml:space="preserve">开启</w:t>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本项目采用不见面招交易模式，使用“苏采云”在线进行解密。供应商应在规定的时间内对响应文件进行解密，因非系统原因导致的解密失败，视为响应无效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sz w:val="24"/>
        </w:rPr>
      </w:pPr>
      <w:r/>
      <w:bookmarkStart w:id="455" w:name="_Toc520356165"/>
      <w:r>
        <w:rPr>
          <w:sz w:val="24"/>
        </w:rPr>
        <w:t xml:space="preserve">本项目不公开报价。</w:t>
      </w:r>
      <w:r/>
    </w:p>
    <w:p>
      <w:pPr>
        <w:numPr>
          <w:ilvl w:val="1"/>
          <w:numId w:val="8"/>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如果在采购活动过程中出现以下情形，导致“苏采云”系统无法正常运行，或者无法保证本项目采购活动的公平、公正和安全时，代理机构可以延缓或者暂停采购活动，情况严重的可以终止采购活动</w:t>
      </w:r>
      <w:r>
        <w:rPr>
          <w:sz w:val="24"/>
        </w:rPr>
        <w:t xml:space="preserve">：</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55"/>
      <w:r/>
    </w:p>
    <w:p>
      <w:pPr>
        <w:numPr>
          <w:ilvl w:val="0"/>
          <w:numId w:val="8"/>
        </w:numPr>
        <w:ind w:left="357" w:hanging="357"/>
        <w:spacing w:line="360" w:lineRule="auto"/>
        <w:tabs>
          <w:tab w:val="left" w:pos="360" w:leader="none"/>
        </w:tabs>
        <w:rPr>
          <w:sz w:val="24"/>
        </w:rPr>
        <w:outlineLvl w:val="1"/>
      </w:pPr>
      <w:r>
        <w:rPr>
          <w:sz w:val="24"/>
        </w:rPr>
        <w:t xml:space="preserve">磋商小组</w:t>
      </w:r>
      <w:r/>
    </w:p>
    <w:p>
      <w:pPr>
        <w:numPr>
          <w:ilvl w:val="1"/>
          <w:numId w:val="8"/>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sz w:val="24"/>
        </w:rPr>
        <w:outlineLvl w:val="1"/>
      </w:pPr>
      <w:r>
        <w:rPr>
          <w:sz w:val="24"/>
        </w:rPr>
        <w:t xml:space="preserve">评审方法和评审标准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1031"/>
        <w:spacing w:before="0" w:line="360" w:lineRule="auto"/>
        <w:rPr>
          <w:rFonts w:ascii="Times New Roman" w:hAnsi="Times New Roman" w:eastAsia="宋体"/>
          <w:sz w:val="28"/>
        </w:rPr>
      </w:pPr>
      <w:r/>
      <w:bookmarkStart w:id="458" w:name="_Toc150774645"/>
      <w:r/>
      <w:bookmarkStart w:id="459" w:name="_Toc305158813"/>
      <w:r/>
      <w:bookmarkStart w:id="460" w:name="_Toc150774750"/>
      <w:r/>
      <w:bookmarkStart w:id="461" w:name="_Toc195842910"/>
      <w:r/>
      <w:bookmarkStart w:id="462" w:name="_Toc151193859"/>
      <w:r/>
      <w:bookmarkStart w:id="463" w:name="_Toc151193933"/>
      <w:r/>
      <w:bookmarkStart w:id="464" w:name="_Toc142311047"/>
      <w:r/>
      <w:bookmarkStart w:id="465" w:name="_Toc150480783"/>
      <w:r/>
      <w:bookmarkStart w:id="466" w:name="_Toc226337241"/>
      <w:r/>
      <w:bookmarkStart w:id="467" w:name="_Toc151193643"/>
      <w:r/>
      <w:bookmarkStart w:id="468" w:name="_Toc151193715"/>
      <w:r/>
      <w:bookmarkStart w:id="469" w:name="_Toc127151545"/>
      <w:r/>
      <w:bookmarkStart w:id="470" w:name="_Toc151190172"/>
      <w:r/>
      <w:bookmarkStart w:id="471" w:name="_Toc264969235"/>
      <w:r/>
      <w:bookmarkStart w:id="472" w:name="_Toc150509296"/>
      <w:r/>
      <w:bookmarkStart w:id="473" w:name="_Toc265228383"/>
      <w:r/>
      <w:bookmarkStart w:id="474" w:name="_Toc226309789"/>
      <w:r/>
      <w:bookmarkStart w:id="475" w:name="_Toc226965818"/>
      <w:r/>
      <w:bookmarkStart w:id="476" w:name="_Toc151193787"/>
      <w:r/>
      <w:bookmarkStart w:id="477" w:name="_Toc226965735"/>
      <w:r/>
      <w:bookmarkStart w:id="478" w:name="_Toc305158887"/>
      <w:r>
        <w:rPr>
          <w:rFonts w:ascii="Times New Roman" w:hAnsi="Times New Roman" w:eastAsia="宋体"/>
          <w:sz w:val="28"/>
        </w:rPr>
        <w:t xml:space="preserve">六   </w:t>
      </w:r>
      <w:bookmarkEnd w:id="457"/>
      <w:r>
        <w:rPr>
          <w:rFonts w:ascii="Times New Roman" w:hAnsi="Times New Roman" w:eastAsia="宋体"/>
          <w:sz w:val="28"/>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sz w:val="28"/>
        </w:rPr>
        <w:t xml:space="preserve">成交</w:t>
      </w:r>
      <w:r/>
    </w:p>
    <w:p>
      <w:pPr>
        <w:numPr>
          <w:ilvl w:val="0"/>
          <w:numId w:val="8"/>
        </w:numPr>
        <w:ind w:left="357" w:hanging="357"/>
        <w:spacing w:line="360" w:lineRule="auto"/>
        <w:tabs>
          <w:tab w:val="left" w:pos="360" w:leader="none"/>
        </w:tabs>
        <w:rPr>
          <w:sz w:val="24"/>
        </w:rPr>
        <w:outlineLvl w:val="1"/>
      </w:pPr>
      <w:r/>
      <w:bookmarkStart w:id="479" w:name="_Toc151193645"/>
      <w:r/>
      <w:bookmarkStart w:id="480" w:name="_Toc127151748"/>
      <w:r/>
      <w:bookmarkStart w:id="481" w:name="_Toc164229388"/>
      <w:r/>
      <w:bookmarkStart w:id="482" w:name="_Toc150774647"/>
      <w:r/>
      <w:bookmarkStart w:id="483" w:name="_Toc164608816"/>
      <w:r/>
      <w:bookmarkStart w:id="484" w:name="_Toc264969237"/>
      <w:r/>
      <w:bookmarkStart w:id="485" w:name="_Toc164608661"/>
      <w:r/>
      <w:bookmarkStart w:id="486" w:name="_Toc142311049"/>
      <w:r/>
      <w:bookmarkStart w:id="487" w:name="_Toc195842912"/>
      <w:r/>
      <w:bookmarkStart w:id="488" w:name="_Toc164229242"/>
      <w:r/>
      <w:bookmarkStart w:id="489" w:name="_Toc127161461"/>
      <w:r/>
      <w:bookmarkStart w:id="490" w:name="_Toc151193789"/>
      <w:r/>
      <w:bookmarkStart w:id="491" w:name="_Toc164351641"/>
      <w:r/>
      <w:bookmarkStart w:id="492" w:name="_Toc226965820"/>
      <w:r/>
      <w:bookmarkStart w:id="493" w:name="_Toc151190174"/>
      <w:r/>
      <w:bookmarkStart w:id="494" w:name="_Toc127151547"/>
      <w:r/>
      <w:bookmarkStart w:id="495" w:name="_Toc151193717"/>
      <w:r/>
      <w:bookmarkStart w:id="496" w:name="_Toc226337243"/>
      <w:r/>
      <w:bookmarkStart w:id="497" w:name="_Toc305158815"/>
      <w:r/>
      <w:bookmarkStart w:id="498" w:name="_Toc226309791"/>
      <w:r/>
      <w:bookmarkStart w:id="499" w:name="_Toc149720840"/>
      <w:r/>
      <w:bookmarkStart w:id="500" w:name="_Toc151193935"/>
      <w:r/>
      <w:bookmarkStart w:id="501" w:name="_Toc150774752"/>
      <w:r/>
      <w:bookmarkStart w:id="502" w:name="_Toc150480785"/>
      <w:r/>
      <w:bookmarkStart w:id="503" w:name="_Toc150509298"/>
      <w:r/>
      <w:bookmarkStart w:id="504" w:name="_Toc305158889"/>
      <w:r/>
      <w:bookmarkStart w:id="505" w:name="_Toc265228385"/>
      <w:r/>
      <w:bookmarkStart w:id="506" w:name="_Toc226965737"/>
      <w:r/>
      <w:bookmarkStart w:id="507" w:name="_Toc151193861"/>
      <w:r>
        <w:rPr>
          <w:sz w:val="24"/>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8"/>
        </w:numPr>
        <w:ind w:left="357" w:hanging="357"/>
        <w:spacing w:line="360" w:lineRule="auto"/>
        <w:tabs>
          <w:tab w:val="left" w:pos="360" w:leader="none"/>
        </w:tabs>
        <w:rPr>
          <w:sz w:val="24"/>
        </w:rPr>
        <w:outlineLvl w:val="1"/>
      </w:pPr>
      <w:r/>
      <w:bookmarkStart w:id="508" w:name="_Toc305158891"/>
      <w:r/>
      <w:bookmarkStart w:id="509" w:name="_Toc305158817"/>
      <w:r/>
      <w:bookmarkStart w:id="510" w:name="_Toc164351643"/>
      <w:r/>
      <w:bookmarkStart w:id="511" w:name="_Toc151193791"/>
      <w:r/>
      <w:bookmarkStart w:id="512" w:name="_Toc264969239"/>
      <w:r/>
      <w:bookmarkStart w:id="513" w:name="_Toc226965739"/>
      <w:r/>
      <w:bookmarkStart w:id="514" w:name="_Toc150774754"/>
      <w:r/>
      <w:bookmarkStart w:id="515" w:name="_Toc226965822"/>
      <w:r/>
      <w:bookmarkStart w:id="516" w:name="_Toc164229244"/>
      <w:r/>
      <w:bookmarkStart w:id="517" w:name="_Toc150480787"/>
      <w:r/>
      <w:bookmarkStart w:id="518" w:name="_Toc150509300"/>
      <w:r/>
      <w:bookmarkStart w:id="519" w:name="_Toc127151549"/>
      <w:r/>
      <w:bookmarkStart w:id="520" w:name="_Toc226337245"/>
      <w:r/>
      <w:bookmarkStart w:id="521" w:name="_Toc195842914"/>
      <w:r/>
      <w:bookmarkStart w:id="522" w:name="_Toc265228387"/>
      <w:r/>
      <w:bookmarkStart w:id="523" w:name="_Toc151193647"/>
      <w:r/>
      <w:bookmarkStart w:id="524" w:name="_Toc127161463"/>
      <w:r/>
      <w:bookmarkStart w:id="525" w:name="_Toc164608663"/>
      <w:r/>
      <w:bookmarkStart w:id="526" w:name="_Toc142311051"/>
      <w:r/>
      <w:bookmarkStart w:id="527" w:name="_Toc151193937"/>
      <w:r/>
      <w:bookmarkStart w:id="528" w:name="_Toc164229390"/>
      <w:r/>
      <w:bookmarkStart w:id="529" w:name="_Toc151190176"/>
      <w:r/>
      <w:bookmarkStart w:id="530" w:name="_Toc127151750"/>
      <w:r/>
      <w:bookmarkStart w:id="531" w:name="_Toc164608818"/>
      <w:r/>
      <w:bookmarkStart w:id="532" w:name="_Toc226309793"/>
      <w:r/>
      <w:bookmarkStart w:id="533" w:name="_Toc151193719"/>
      <w:r/>
      <w:bookmarkStart w:id="534" w:name="_Toc150774649"/>
      <w:r/>
      <w:bookmarkStart w:id="535" w:name="_Toc149720842"/>
      <w:r/>
      <w:bookmarkStart w:id="536" w:name="_Toc151193863"/>
      <w:r/>
      <w:bookmarkStart w:id="537" w:name="_Ref467306425"/>
      <w:r/>
      <w:bookmarkStart w:id="538" w:name="_Toc520356176"/>
      <w:r/>
      <w:bookmarkStart w:id="539" w:name="_Ref467307090"/>
      <w:r>
        <w:rPr>
          <w:sz w:val="24"/>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采购人或采购代理机构将在成交供应商确定后2个工作日内，在</w:t>
      </w:r>
      <w:r>
        <w:rPr>
          <w:rFonts w:hint="eastAsia"/>
          <w:sz w:val="24"/>
        </w:rPr>
        <w:t xml:space="preserve">常州市政府采购网</w:t>
      </w:r>
      <w:r>
        <w:rPr>
          <w:sz w:val="24"/>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终止</w:t>
      </w:r>
      <w:r/>
    </w:p>
    <w:p>
      <w:pPr>
        <w:numPr>
          <w:ilvl w:val="1"/>
          <w:numId w:val="8"/>
        </w:numPr>
        <w:ind w:left="1077" w:hanging="720"/>
        <w:spacing w:line="360" w:lineRule="auto"/>
        <w:tabs>
          <w:tab w:val="left" w:pos="1080"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sz w:val="24"/>
        </w:rPr>
      </w:pPr>
      <w:r>
        <w:rPr>
          <w:sz w:val="24"/>
        </w:rPr>
        <w:t xml:space="preserve">因情况变化，不再符合规定的竞争性磋商采购方式适用情形的；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p>
    <w:p>
      <w:pPr>
        <w:numPr>
          <w:ilvl w:val="0"/>
          <w:numId w:val="8"/>
        </w:numPr>
        <w:ind w:left="357" w:hanging="357"/>
        <w:spacing w:line="360" w:lineRule="auto"/>
        <w:tabs>
          <w:tab w:val="left" w:pos="360" w:leader="none"/>
        </w:tabs>
        <w:rPr>
          <w:sz w:val="24"/>
        </w:rPr>
        <w:outlineLvl w:val="1"/>
      </w:pPr>
      <w:r/>
      <w:bookmarkStart w:id="540" w:name="_Toc149720843"/>
      <w:r/>
      <w:bookmarkStart w:id="541" w:name="_Toc150774650"/>
      <w:r/>
      <w:bookmarkStart w:id="542" w:name="_Toc150480788"/>
      <w:r/>
      <w:bookmarkStart w:id="543" w:name="_Toc164608819"/>
      <w:r/>
      <w:bookmarkStart w:id="544" w:name="_Toc151193938"/>
      <w:r/>
      <w:bookmarkStart w:id="545" w:name="_Toc164229391"/>
      <w:r/>
      <w:bookmarkStart w:id="546" w:name="_Toc226965823"/>
      <w:r/>
      <w:bookmarkStart w:id="547" w:name="_Toc164608664"/>
      <w:r/>
      <w:bookmarkStart w:id="548" w:name="_Toc151193720"/>
      <w:r/>
      <w:bookmarkStart w:id="549" w:name="_Toc127151550"/>
      <w:r/>
      <w:bookmarkStart w:id="550" w:name="_Toc195842915"/>
      <w:r/>
      <w:bookmarkStart w:id="551" w:name="_Toc164229245"/>
      <w:r/>
      <w:bookmarkStart w:id="552" w:name="_Toc226309794"/>
      <w:r/>
      <w:bookmarkStart w:id="553" w:name="_Ref467306978"/>
      <w:r/>
      <w:bookmarkStart w:id="554" w:name="_Ref467307062"/>
      <w:r/>
      <w:bookmarkStart w:id="555" w:name="_Toc520356175"/>
      <w:r/>
      <w:bookmarkStart w:id="556" w:name="_Toc142311052"/>
      <w:r/>
      <w:bookmarkStart w:id="557" w:name="_Toc264969240"/>
      <w:r/>
      <w:bookmarkStart w:id="558" w:name="_Toc151193648"/>
      <w:r/>
      <w:bookmarkStart w:id="559" w:name="_Toc226965740"/>
      <w:r/>
      <w:bookmarkStart w:id="560" w:name="_Toc151193864"/>
      <w:r/>
      <w:bookmarkStart w:id="561" w:name="_Toc164351644"/>
      <w:r/>
      <w:bookmarkStart w:id="562" w:name="_Toc305158818"/>
      <w:r/>
      <w:bookmarkStart w:id="563" w:name="_Toc127161464"/>
      <w:r/>
      <w:bookmarkStart w:id="564" w:name="_Toc151190177"/>
      <w:r/>
      <w:bookmarkStart w:id="565" w:name="_Toc151193792"/>
      <w:r/>
      <w:bookmarkStart w:id="566" w:name="_Toc150774755"/>
      <w:r/>
      <w:bookmarkStart w:id="567" w:name="_Ref467307204"/>
      <w:r/>
      <w:bookmarkStart w:id="568" w:name="_Toc226337246"/>
      <w:r/>
      <w:bookmarkStart w:id="569" w:name="_Toc150509301"/>
      <w:r/>
      <w:bookmarkStart w:id="570" w:name="_Toc265228388"/>
      <w:r/>
      <w:bookmarkStart w:id="571" w:name="_Toc127151751"/>
      <w:r/>
      <w:bookmarkStart w:id="572" w:name="_Toc305158892"/>
      <w:r/>
      <w:bookmarkStart w:id="573" w:name="_Ref467306377"/>
      <w:r>
        <w:rPr>
          <w:sz w:val="24"/>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7"/>
      <w:bookmarkEnd w:id="538"/>
      <w:bookmarkEnd w:id="539"/>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05"/>
        </w:rPr>
        <w:t xml:space="preserve">http://gk</w:t>
      </w:r>
      <w:bookmarkStart w:id="574" w:name="_Hlt100654014"/>
      <w:r>
        <w:rPr>
          <w:rStyle w:val="1105"/>
        </w:rPr>
        <w:t xml:space="preserve">s</w:t>
      </w:r>
      <w:bookmarkEnd w:id="574"/>
      <w:r>
        <w:rPr>
          <w:rStyle w:val="1105"/>
        </w:rPr>
        <w:t xml:space="preserve">.m</w:t>
      </w:r>
      <w:bookmarkStart w:id="575" w:name="_Hlt100653994"/>
      <w:r/>
      <w:bookmarkStart w:id="576" w:name="_Hlt100653993"/>
      <w:r>
        <w:rPr>
          <w:rStyle w:val="1105"/>
        </w:rPr>
        <w:t xml:space="preserve">o</w:t>
      </w:r>
      <w:bookmarkEnd w:id="575"/>
      <w:r/>
      <w:bookmarkEnd w:id="576"/>
      <w:r/>
      <w:bookmarkStart w:id="577" w:name="_Hlt101169156"/>
      <w:r>
        <w:rPr>
          <w:rStyle w:val="1105"/>
        </w:rPr>
        <w:t xml:space="preserve">f</w:t>
      </w:r>
      <w:bookmarkEnd w:id="577"/>
      <w:r>
        <w:rPr>
          <w:rStyle w:val="1105"/>
        </w:rPr>
        <w:t xml:space="preserve">.gov.cn/ztztz/zhengfucaigouguanli/201802/t20180201_2804589.htm</w:t>
      </w:r>
      <w:r>
        <w:fldChar w:fldCharType="end"/>
      </w:r>
      <w:r>
        <w:rPr>
          <w:rFonts w:hint="eastAsia"/>
        </w:rPr>
        <w:t xml:space="preserve">）</w:t>
      </w:r>
      <w:r/>
    </w:p>
    <w:p>
      <w:pPr>
        <w:numPr>
          <w:ilvl w:val="2"/>
          <w:numId w:val="8"/>
        </w:numPr>
        <w:spacing w:line="360" w:lineRule="auto"/>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sz w:val="24"/>
        </w:rPr>
      </w:pPr>
      <w:r/>
      <w:bookmarkStart w:id="578" w:name="_Toc353873664"/>
      <w:r/>
      <w:bookmarkStart w:id="579" w:name="_Toc226965827"/>
      <w:r/>
      <w:bookmarkStart w:id="580" w:name="_Toc226337250"/>
      <w:r/>
      <w:bookmarkStart w:id="581" w:name="_Toc127151554"/>
      <w:r/>
      <w:bookmarkStart w:id="582" w:name="_Toc305158896"/>
      <w:r/>
      <w:bookmarkStart w:id="583" w:name="_Toc142311056"/>
      <w:r/>
      <w:bookmarkStart w:id="584" w:name="_Toc305158822"/>
      <w:r/>
      <w:bookmarkStart w:id="585" w:name="_Toc353825544"/>
      <w:r/>
      <w:bookmarkStart w:id="586" w:name="_Toc264969244"/>
      <w:r/>
      <w:bookmarkStart w:id="587" w:name="_Toc150480792"/>
      <w:r/>
      <w:bookmarkStart w:id="588" w:name="_Toc353873934"/>
      <w:r/>
      <w:bookmarkStart w:id="589" w:name="_Toc265228392"/>
      <w:r/>
      <w:bookmarkStart w:id="590" w:name="_Toc150774759"/>
      <w:r>
        <w:rPr>
          <w:rFonts w:hint="eastAsia"/>
          <w:sz w:val="24"/>
        </w:rPr>
        <w:t xml:space="preserve">集中采购机构不收取代理费。</w:t>
      </w:r>
      <w:r/>
    </w:p>
    <w:p>
      <w:pPr>
        <w:numPr>
          <w:ilvl w:val="1"/>
          <w:numId w:val="8"/>
        </w:numPr>
        <w:ind w:left="1077" w:hanging="720"/>
        <w:spacing w:line="360" w:lineRule="auto"/>
        <w:tabs>
          <w:tab w:val="left" w:pos="1080" w:leader="none"/>
          <w:tab w:val="left" w:pos="2014" w:leader="none"/>
        </w:tabs>
        <w:rPr>
          <w:sz w:val="24"/>
        </w:rPr>
        <w:sectPr>
          <w:footerReference w:type="even" r:id="rId19"/>
          <w:footnotePr/>
          <w:endnotePr/>
          <w:type w:val="nextPage"/>
          <w:pgSz w:w="11907" w:h="16840" w:orient="portrait"/>
          <w:pgMar w:top="1440" w:right="1800" w:bottom="1440" w:left="1800" w:header="851" w:footer="851" w:gutter="0"/>
          <w:cols w:num="1" w:sep="0" w:space="1701" w:equalWidth="1"/>
          <w:docGrid w:linePitch="360"/>
        </w:sectPr>
      </w:pPr>
      <w:r>
        <w:rPr>
          <w:sz w:val="24"/>
        </w:rPr>
      </w:r>
      <w:r/>
    </w:p>
    <w:p>
      <w:pPr>
        <w:jc w:val="center"/>
        <w:spacing w:line="360" w:lineRule="auto"/>
        <w:rPr>
          <w:b/>
          <w:sz w:val="36"/>
          <w:szCs w:val="36"/>
        </w:rPr>
        <w:outlineLvl w:val="0"/>
      </w:pPr>
      <w:r/>
      <w:bookmarkStart w:id="591" w:name="_Toc104818927"/>
      <w:r>
        <w:rPr>
          <w:b/>
          <w:sz w:val="36"/>
          <w:szCs w:val="36"/>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sz w:val="36"/>
          <w:szCs w:val="36"/>
        </w:rPr>
        <w:t xml:space="preserve">评审</w:t>
      </w:r>
      <w:r>
        <w:rPr>
          <w:rFonts w:hint="eastAsia"/>
          <w:b/>
          <w:sz w:val="36"/>
          <w:szCs w:val="36"/>
        </w:rPr>
        <w:t xml:space="preserve">程序、评审</w:t>
      </w:r>
      <w:r>
        <w:rPr>
          <w:b/>
          <w:sz w:val="36"/>
          <w:szCs w:val="36"/>
        </w:rPr>
        <w:t xml:space="preserve">方法和评审标准</w:t>
      </w:r>
      <w:bookmarkEnd w:id="591"/>
      <w:r/>
      <w:bookmarkStart w:id="592" w:name="_Toc487900382"/>
      <w:r/>
      <w:r/>
    </w:p>
    <w:p>
      <w:pPr>
        <w:pStyle w:val="1031"/>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92"/>
      <w:r/>
    </w:p>
    <w:p>
      <w:pPr>
        <w:numPr>
          <w:ilvl w:val="0"/>
          <w:numId w:val="11"/>
        </w:numPr>
        <w:spacing w:line="360" w:lineRule="auto"/>
        <w:tabs>
          <w:tab w:val="left" w:pos="360" w:leader="none"/>
        </w:tabs>
        <w:rPr>
          <w:sz w:val="24"/>
        </w:rPr>
        <w:outlineLvl w:val="1"/>
      </w:pPr>
      <w:r/>
      <w:bookmarkStart w:id="593" w:name="_Toc164608655"/>
      <w:r/>
      <w:bookmarkStart w:id="594" w:name="_Toc127151742"/>
      <w:r/>
      <w:bookmarkStart w:id="595" w:name="_Toc164229382"/>
      <w:r/>
      <w:bookmarkStart w:id="596" w:name="_Toc226965731"/>
      <w:r/>
      <w:bookmarkStart w:id="597" w:name="_Toc150774746"/>
      <w:r/>
      <w:bookmarkStart w:id="598" w:name="_Toc265228379"/>
      <w:r/>
      <w:bookmarkStart w:id="599" w:name="_Toc151190168"/>
      <w:r/>
      <w:bookmarkStart w:id="600" w:name="_Toc149720834"/>
      <w:r/>
      <w:bookmarkStart w:id="601" w:name="_Toc150480779"/>
      <w:r/>
      <w:bookmarkStart w:id="602" w:name="_Toc226309785"/>
      <w:r/>
      <w:bookmarkStart w:id="603" w:name="_Toc195842906"/>
      <w:r/>
      <w:bookmarkStart w:id="604" w:name="_Toc164351635"/>
      <w:r/>
      <w:bookmarkStart w:id="605" w:name="_Toc305158809"/>
      <w:r/>
      <w:bookmarkStart w:id="606" w:name="_Toc142311043"/>
      <w:r/>
      <w:bookmarkStart w:id="607" w:name="_Toc264969231"/>
      <w:r/>
      <w:bookmarkStart w:id="608" w:name="_Toc127161455"/>
      <w:r/>
      <w:bookmarkStart w:id="609" w:name="_Toc151193783"/>
      <w:r/>
      <w:bookmarkStart w:id="610" w:name="_Toc164608810"/>
      <w:r/>
      <w:bookmarkStart w:id="611" w:name="_Toc151193855"/>
      <w:r/>
      <w:bookmarkStart w:id="612" w:name="_Toc127151541"/>
      <w:r/>
      <w:bookmarkStart w:id="613" w:name="_Toc226965814"/>
      <w:r/>
      <w:bookmarkStart w:id="614" w:name="_Toc164229236"/>
      <w:r/>
      <w:bookmarkStart w:id="615" w:name="_Toc226337237"/>
      <w:r/>
      <w:bookmarkStart w:id="616" w:name="_Toc150509292"/>
      <w:r/>
      <w:bookmarkStart w:id="617" w:name="_Toc151193929"/>
      <w:r/>
      <w:bookmarkStart w:id="618" w:name="_Toc150774641"/>
      <w:r/>
      <w:bookmarkStart w:id="619" w:name="_Toc151193711"/>
      <w:r/>
      <w:bookmarkStart w:id="620" w:name="_Toc151193639"/>
      <w:r/>
      <w:bookmarkStart w:id="621" w:name="_Toc305158883"/>
      <w:r/>
      <w:bookmarkStart w:id="622" w:name="_Toc353873941"/>
      <w:r/>
      <w:bookmarkStart w:id="623" w:name="_Toc353825551"/>
      <w:r/>
      <w:bookmarkStart w:id="624" w:name="_Toc195842920"/>
      <w:r/>
      <w:bookmarkStart w:id="625" w:name="_Toc353873665"/>
      <w:r/>
      <w:bookmarkStart w:id="626" w:name="_Toc305158897"/>
      <w:r/>
      <w:bookmarkStart w:id="627" w:name="_Toc142311057"/>
      <w:r/>
      <w:bookmarkStart w:id="628" w:name="_Toc353873935"/>
      <w:r/>
      <w:bookmarkStart w:id="629" w:name="_Toc150480793"/>
      <w:r/>
      <w:bookmarkStart w:id="630" w:name="_Toc150774760"/>
      <w:r/>
      <w:bookmarkStart w:id="631" w:name="_Toc353825545"/>
      <w:r/>
      <w:bookmarkStart w:id="632" w:name="_Toc265228393"/>
      <w:r/>
      <w:bookmarkStart w:id="633" w:name="_Toc226337251"/>
      <w:r/>
      <w:bookmarkStart w:id="634" w:name="_Toc264969245"/>
      <w:r/>
      <w:bookmarkStart w:id="635" w:name="_Toc127151555"/>
      <w:r/>
      <w:bookmarkStart w:id="636" w:name="_Toc305158823"/>
      <w:r/>
      <w:bookmarkStart w:id="637" w:name="_Toc226965828"/>
      <w:r>
        <w:rPr>
          <w:sz w:val="24"/>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sz w:val="24"/>
        </w:rPr>
        <w:t xml:space="preserve">资格性检查和符合性审查</w:t>
      </w:r>
      <w:r/>
    </w:p>
    <w:p>
      <w:pPr>
        <w:numPr>
          <w:ilvl w:val="1"/>
          <w:numId w:val="11"/>
        </w:numPr>
        <w:ind w:left="1077" w:hanging="720"/>
        <w:spacing w:line="360" w:lineRule="auto"/>
        <w:tabs>
          <w:tab w:val="left" w:pos="1080"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1"/>
        </w:numPr>
        <w:ind w:left="1077" w:hanging="720"/>
        <w:spacing w:line="360" w:lineRule="auto"/>
        <w:tabs>
          <w:tab w:val="left" w:pos="1080" w:leader="none"/>
        </w:tabs>
        <w:rPr>
          <w:sz w:val="24"/>
        </w:rPr>
      </w:pPr>
      <w:r>
        <w:rPr>
          <w:sz w:val="24"/>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85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875"/>
        <w:gridCol w:w="4873"/>
        <w:gridCol w:w="1800"/>
      </w:tblGrid>
      <w:tr>
        <w:trPr>
          <w:cantSplit/>
          <w:trHeight w:val="20"/>
          <w:tblHeader/>
        </w:trPr>
        <w:tc>
          <w:tcPr>
            <w:tcW w:w="375" w:type="dxa"/>
            <w:vAlign w:val="center"/>
            <w:textDirection w:val="lrTb"/>
            <w:noWrap w:val="false"/>
          </w:tcPr>
          <w:p>
            <w:pPr>
              <w:jc w:val="center"/>
              <w:tabs>
                <w:tab w:val="left" w:pos="1080" w:leader="none"/>
              </w:tabs>
              <w:rPr>
                <w:b/>
                <w:sz w:val="24"/>
              </w:rPr>
            </w:pPr>
            <w:r/>
            <w:bookmarkStart w:id="638" w:name="_Hlt487972895"/>
            <w:r/>
            <w:bookmarkEnd w:id="638"/>
            <w:r>
              <w:rPr>
                <w:b/>
                <w:sz w:val="24"/>
              </w:rPr>
              <w:t xml:space="preserve">序号</w:t>
            </w:r>
            <w:r/>
          </w:p>
        </w:tc>
        <w:tc>
          <w:tcPr>
            <w:tcW w:w="1014" w:type="dxa"/>
            <w:vAlign w:val="center"/>
            <w:textDirection w:val="lrTb"/>
            <w:noWrap w:val="false"/>
          </w:tcPr>
          <w:p>
            <w:pPr>
              <w:jc w:val="center"/>
              <w:tabs>
                <w:tab w:val="left" w:pos="1080" w:leader="none"/>
              </w:tabs>
              <w:rPr>
                <w:b/>
                <w:sz w:val="24"/>
              </w:rPr>
            </w:pPr>
            <w:r>
              <w:rPr>
                <w:b/>
                <w:sz w:val="24"/>
              </w:rPr>
              <w:t xml:space="preserve">审查因素</w:t>
            </w:r>
            <w:r/>
          </w:p>
        </w:tc>
        <w:tc>
          <w:tcPr>
            <w:tcW w:w="2636" w:type="dxa"/>
            <w:vAlign w:val="center"/>
            <w:textDirection w:val="lrTb"/>
            <w:noWrap w:val="false"/>
          </w:tcPr>
          <w:p>
            <w:pPr>
              <w:jc w:val="center"/>
              <w:tabs>
                <w:tab w:val="left" w:pos="1080" w:leader="none"/>
              </w:tabs>
              <w:rPr>
                <w:b/>
                <w:sz w:val="24"/>
              </w:rPr>
            </w:pPr>
            <w:r>
              <w:rPr>
                <w:b/>
                <w:sz w:val="24"/>
              </w:rPr>
              <w:t xml:space="preserve">审查内容</w:t>
            </w:r>
            <w:r/>
          </w:p>
        </w:tc>
        <w:tc>
          <w:tcPr>
            <w:tcW w:w="973"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1</w:t>
            </w:r>
            <w:r/>
          </w:p>
        </w:tc>
        <w:tc>
          <w:tcPr>
            <w:tcW w:w="1014"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636" w:type="dxa"/>
            <w:vAlign w:val="center"/>
            <w:textDirection w:val="lrTb"/>
            <w:noWrap w:val="false"/>
          </w:tcPr>
          <w:p>
            <w:pPr>
              <w:tabs>
                <w:tab w:val="left" w:pos="1080" w:leader="none"/>
              </w:tabs>
              <w:rPr>
                <w:sz w:val="24"/>
              </w:rPr>
            </w:pPr>
            <w:r>
              <w:rPr>
                <w:sz w:val="24"/>
              </w:rPr>
              <w:t xml:space="preserve">具体规定见第一章《采购邀请》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468"/>
        </w:trPr>
        <w:tc>
          <w:tcPr>
            <w:tcW w:w="375" w:type="dxa"/>
            <w:vAlign w:val="center"/>
            <w:textDirection w:val="lrTb"/>
            <w:noWrap w:val="false"/>
          </w:tcPr>
          <w:p>
            <w:pPr>
              <w:jc w:val="center"/>
              <w:tabs>
                <w:tab w:val="left" w:pos="1080" w:leader="none"/>
              </w:tabs>
              <w:rPr>
                <w:sz w:val="24"/>
              </w:rPr>
            </w:pPr>
            <w:r>
              <w:rPr>
                <w:sz w:val="24"/>
              </w:rPr>
              <w:t xml:space="preserve">1-1</w:t>
            </w:r>
            <w:r/>
          </w:p>
        </w:tc>
        <w:tc>
          <w:tcPr>
            <w:tcW w:w="1014" w:type="dxa"/>
            <w:vAlign w:val="center"/>
            <w:textDirection w:val="lrTb"/>
            <w:noWrap w:val="false"/>
          </w:tcPr>
          <w:p>
            <w:pPr>
              <w:tabs>
                <w:tab w:val="left" w:pos="1080" w:leader="none"/>
              </w:tabs>
              <w:rPr>
                <w:sz w:val="24"/>
              </w:rPr>
            </w:pPr>
            <w:r>
              <w:rPr>
                <w:rFonts w:hint="eastAsia"/>
                <w:sz w:val="24"/>
              </w:rPr>
              <w:t xml:space="preserve">供应商资格声明函</w:t>
            </w:r>
            <w:r/>
          </w:p>
        </w:tc>
        <w:tc>
          <w:tcPr>
            <w:tcW w:w="2636" w:type="dxa"/>
            <w:vAlign w:val="center"/>
            <w:textDirection w:val="lrTb"/>
            <w:noWrap w:val="false"/>
          </w:tcPr>
          <w:p>
            <w:pPr>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p>
        </w:tc>
        <w:tc>
          <w:tcPr>
            <w:tcW w:w="973"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dxa"/>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014" w:type="dxa"/>
            <w:vAlign w:val="center"/>
            <w:textDirection w:val="lrTb"/>
            <w:noWrap w:val="false"/>
          </w:tcPr>
          <w:p>
            <w:pPr>
              <w:tabs>
                <w:tab w:val="left" w:pos="1080" w:leader="none"/>
              </w:tabs>
              <w:rPr>
                <w:sz w:val="24"/>
              </w:rPr>
            </w:pPr>
            <w:r>
              <w:rPr>
                <w:sz w:val="24"/>
              </w:rPr>
              <w:t xml:space="preserve">供应商信用记录</w:t>
            </w:r>
            <w:r/>
          </w:p>
        </w:tc>
        <w:tc>
          <w:tcPr>
            <w:tcW w:w="2636" w:type="dxa"/>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查询渠道：信用中国网站和中国政府采购网（www.creditchina.gov.cn、www.ccgp.gov.cn）；</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p>
        </w:tc>
        <w:tc>
          <w:tcPr>
            <w:tcW w:w="973" w:type="dxa"/>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w:t>
            </w:r>
            <w:r/>
          </w:p>
        </w:tc>
        <w:tc>
          <w:tcPr>
            <w:tcW w:w="1014"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2636" w:type="dxa"/>
            <w:vAlign w:val="center"/>
            <w:textDirection w:val="lrTb"/>
            <w:noWrap w:val="false"/>
          </w:tcPr>
          <w:p>
            <w:pPr>
              <w:tabs>
                <w:tab w:val="left" w:pos="1080" w:leader="none"/>
              </w:tabs>
              <w:rPr>
                <w:sz w:val="24"/>
              </w:rPr>
            </w:pPr>
            <w:r>
              <w:rPr>
                <w:sz w:val="24"/>
              </w:rPr>
              <w:t xml:space="preserve">具体要求见第一章《采购邀请》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2-1</w:t>
            </w:r>
            <w:r/>
          </w:p>
        </w:tc>
        <w:tc>
          <w:tcPr>
            <w:tcW w:w="1014" w:type="dxa"/>
            <w:vAlign w:val="center"/>
            <w:textDirection w:val="lrTb"/>
            <w:noWrap w:val="false"/>
          </w:tcPr>
          <w:p>
            <w:pPr>
              <w:tabs>
                <w:tab w:val="left" w:pos="1080" w:leader="none"/>
              </w:tabs>
              <w:rPr>
                <w:sz w:val="24"/>
              </w:rPr>
            </w:pPr>
            <w:r>
              <w:rPr>
                <w:sz w:val="24"/>
              </w:rPr>
              <w:t xml:space="preserve">中小企业声明函</w:t>
            </w:r>
            <w:r/>
          </w:p>
        </w:tc>
        <w:tc>
          <w:tcPr>
            <w:tcW w:w="2636" w:type="dxa"/>
            <w:vAlign w:val="center"/>
            <w:textDirection w:val="lrTb"/>
            <w:noWrap w:val="false"/>
          </w:tcPr>
          <w:p>
            <w:pPr>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w:t>
            </w:r>
            <w:r/>
          </w:p>
          <w:p>
            <w:pPr>
              <w:tabs>
                <w:tab w:val="left" w:pos="1080" w:leader="none"/>
              </w:tabs>
              <w:rPr>
                <w:bCs/>
                <w:sz w:val="24"/>
              </w:rPr>
            </w:pPr>
            <w:r>
              <w:rPr>
                <w:rFonts w:hint="eastAsia"/>
                <w:bCs/>
                <w:sz w:val="24"/>
              </w:rPr>
              <w:t xml:space="preserve">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b/>
                <w:sz w:val="24"/>
              </w:rPr>
            </w:pPr>
            <w:r>
              <w:rPr>
                <w:rFonts w:hint="eastAsia"/>
                <w:bCs/>
                <w:sz w:val="24"/>
              </w:rPr>
              <w:t xml:space="preserve">注2：残疾人福利性单位须按磋商文件要求提供《残疾人福利性单位声明函》。</w:t>
            </w:r>
            <w:r/>
          </w:p>
        </w:tc>
        <w:tc>
          <w:tcPr>
            <w:tcW w:w="973" w:type="dxa"/>
            <w:vAlign w:val="center"/>
            <w:textDirection w:val="lrTb"/>
            <w:noWrap w:val="false"/>
          </w:tcPr>
          <w:p>
            <w:pPr>
              <w:tabs>
                <w:tab w:val="left" w:pos="1080" w:leader="none"/>
              </w:tabs>
              <w:rPr>
                <w:sz w:val="24"/>
              </w:rPr>
            </w:pPr>
            <w:r>
              <w:rPr>
                <w:sz w:val="24"/>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2-3</w:t>
            </w:r>
            <w:r/>
          </w:p>
        </w:tc>
        <w:tc>
          <w:tcPr>
            <w:tcW w:w="1014" w:type="dxa"/>
            <w:vAlign w:val="center"/>
            <w:textDirection w:val="lrTb"/>
            <w:noWrap w:val="false"/>
          </w:tcPr>
          <w:p>
            <w:pPr>
              <w:tabs>
                <w:tab w:val="left" w:pos="1080" w:leader="none"/>
              </w:tabs>
              <w:rPr>
                <w:sz w:val="24"/>
              </w:rPr>
            </w:pPr>
            <w:r>
              <w:rPr>
                <w:sz w:val="24"/>
              </w:rPr>
              <w:t xml:space="preserve">其它落实政府采购政策的资格要求</w:t>
            </w:r>
            <w:r/>
          </w:p>
        </w:tc>
        <w:tc>
          <w:tcPr>
            <w:tcW w:w="2636" w:type="dxa"/>
            <w:vAlign w:val="center"/>
            <w:textDirection w:val="lrTb"/>
            <w:noWrap w:val="false"/>
          </w:tcPr>
          <w:p>
            <w:pPr>
              <w:tabs>
                <w:tab w:val="left" w:pos="1080" w:leader="none"/>
              </w:tabs>
              <w:rPr>
                <w:sz w:val="24"/>
              </w:rPr>
            </w:pPr>
            <w:r>
              <w:rPr>
                <w:sz w:val="24"/>
              </w:rPr>
              <w:t xml:space="preserve">如有，见第一章《采购邀请》</w:t>
            </w:r>
            <w:r/>
          </w:p>
        </w:tc>
        <w:tc>
          <w:tcPr>
            <w:tcW w:w="973" w:type="dxa"/>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3</w:t>
            </w:r>
            <w:r/>
          </w:p>
        </w:tc>
        <w:tc>
          <w:tcPr>
            <w:tcW w:w="1014" w:type="dxa"/>
            <w:vAlign w:val="center"/>
            <w:textDirection w:val="lrTb"/>
            <w:noWrap w:val="false"/>
          </w:tcPr>
          <w:p>
            <w:pPr>
              <w:tabs>
                <w:tab w:val="left" w:pos="1080" w:leader="none"/>
              </w:tabs>
              <w:rPr>
                <w:sz w:val="24"/>
              </w:rPr>
            </w:pPr>
            <w:r>
              <w:rPr>
                <w:sz w:val="24"/>
              </w:rPr>
              <w:t xml:space="preserve">本项目的特定资格要求</w:t>
            </w:r>
            <w:r/>
          </w:p>
        </w:tc>
        <w:tc>
          <w:tcPr>
            <w:tcW w:w="2636" w:type="dxa"/>
            <w:vAlign w:val="center"/>
            <w:textDirection w:val="lrTb"/>
            <w:noWrap w:val="false"/>
          </w:tcPr>
          <w:p>
            <w:pPr>
              <w:tabs>
                <w:tab w:val="left" w:pos="1080" w:leader="none"/>
              </w:tabs>
              <w:rPr>
                <w:sz w:val="24"/>
              </w:rPr>
            </w:pPr>
            <w:r>
              <w:rPr>
                <w:sz w:val="24"/>
              </w:rPr>
              <w:t xml:space="preserve">如有，见第一章《采购邀请》</w:t>
            </w:r>
            <w:r/>
          </w:p>
        </w:tc>
        <w:tc>
          <w:tcPr>
            <w:tcW w:w="973"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3-2</w:t>
            </w:r>
            <w:r/>
          </w:p>
        </w:tc>
        <w:tc>
          <w:tcPr>
            <w:tcW w:w="1014" w:type="dxa"/>
            <w:vAlign w:val="center"/>
            <w:textDirection w:val="lrTb"/>
            <w:noWrap w:val="false"/>
          </w:tcPr>
          <w:p>
            <w:pPr>
              <w:tabs>
                <w:tab w:val="left" w:pos="1080" w:leader="none"/>
              </w:tabs>
              <w:rPr>
                <w:sz w:val="24"/>
              </w:rPr>
            </w:pPr>
            <w:r>
              <w:rPr>
                <w:sz w:val="24"/>
              </w:rPr>
              <w:t xml:space="preserve">其他特定资格要求</w:t>
            </w:r>
            <w:r/>
          </w:p>
        </w:tc>
        <w:tc>
          <w:tcPr>
            <w:tcW w:w="2636" w:type="dxa"/>
            <w:vAlign w:val="center"/>
            <w:textDirection w:val="lrTb"/>
            <w:noWrap w:val="false"/>
          </w:tcPr>
          <w:p>
            <w:pPr>
              <w:tabs>
                <w:tab w:val="left" w:pos="1080" w:leader="none"/>
              </w:tabs>
              <w:rPr>
                <w:sz w:val="24"/>
              </w:rPr>
            </w:pPr>
            <w:r>
              <w:rPr>
                <w:color w:val="000000"/>
                <w:sz w:val="24"/>
              </w:rPr>
              <w:t xml:space="preserve">如有，见</w:t>
            </w:r>
            <w:r>
              <w:rPr>
                <w:sz w:val="24"/>
              </w:rPr>
              <w:t xml:space="preserve">第一章《采购邀请》</w:t>
            </w:r>
            <w:r/>
          </w:p>
        </w:tc>
        <w:tc>
          <w:tcPr>
            <w:tcW w:w="973" w:type="dxa"/>
            <w:vAlign w:val="center"/>
            <w:textDirection w:val="lrTb"/>
            <w:noWrap w:val="false"/>
          </w:tcPr>
          <w:p>
            <w:pPr>
              <w:tabs>
                <w:tab w:val="left" w:pos="1080" w:leader="none"/>
              </w:tabs>
              <w:rPr>
                <w:sz w:val="24"/>
              </w:rPr>
            </w:pPr>
            <w:r>
              <w:rPr>
                <w:sz w:val="24"/>
              </w:rPr>
              <w:t xml:space="preserve">提供证明文件的电子件或电子证照</w:t>
            </w:r>
            <w:r/>
          </w:p>
        </w:tc>
      </w:tr>
    </w:tbl>
    <w:p>
      <w:pPr>
        <w:jc w:val="left"/>
        <w:widowControl/>
        <w:rPr>
          <w:sz w:val="24"/>
        </w:rPr>
      </w:pPr>
      <w:r>
        <w:rPr>
          <w:sz w:val="24"/>
        </w:rPr>
        <w:br w:type="page" w:clear="all"/>
      </w:r>
      <w:r/>
    </w:p>
    <w:p>
      <w:pPr>
        <w:numPr>
          <w:ilvl w:val="1"/>
          <w:numId w:val="11"/>
        </w:numPr>
        <w:ind w:left="1077" w:hanging="720"/>
        <w:spacing w:line="360" w:lineRule="auto"/>
        <w:tabs>
          <w:tab w:val="left" w:pos="1080" w:leader="none"/>
        </w:tabs>
        <w:rPr>
          <w:sz w:val="24"/>
        </w:rPr>
      </w:pPr>
      <w:r>
        <w:rPr>
          <w:sz w:val="24"/>
        </w:rPr>
        <w:t xml:space="preserve">《符合性审查要求》见下表：</w:t>
      </w:r>
      <w:r/>
    </w:p>
    <w:p>
      <w:pPr>
        <w:jc w:val="center"/>
        <w:spacing w:line="360" w:lineRule="auto"/>
        <w:widowControl/>
        <w:rPr>
          <w:b/>
          <w:color w:val="000000"/>
          <w:sz w:val="24"/>
        </w:rPr>
      </w:pPr>
      <w:r>
        <w:rPr>
          <w:b/>
          <w:color w:val="000000"/>
          <w:sz w:val="24"/>
        </w:rPr>
        <w:t xml:space="preserve">符合性审查要求</w:t>
      </w:r>
      <w:r/>
    </w:p>
    <w:tbl>
      <w:tblPr>
        <w:tblStyle w:val="85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1783"/>
        <w:gridCol w:w="6623"/>
      </w:tblGrid>
      <w:tr>
        <w:trPr>
          <w:jc w:val="center"/>
          <w:trHeight w:val="300"/>
        </w:trPr>
        <w:tc>
          <w:tcPr>
            <w:tcW w:w="836" w:type="dxa"/>
            <w:vAlign w:val="center"/>
            <w:textDirection w:val="lrTb"/>
            <w:noWrap w:val="false"/>
          </w:tcPr>
          <w:p>
            <w:pPr>
              <w:jc w:val="center"/>
              <w:widowControl/>
              <w:rPr>
                <w:b/>
                <w:color w:val="000000"/>
                <w:sz w:val="24"/>
              </w:rPr>
            </w:pPr>
            <w:r>
              <w:rPr>
                <w:b/>
                <w:color w:val="000000"/>
                <w:sz w:val="24"/>
              </w:rPr>
              <w:t xml:space="preserve">序号</w:t>
            </w:r>
            <w:r/>
          </w:p>
        </w:tc>
        <w:tc>
          <w:tcPr>
            <w:tcW w:w="1783" w:type="dxa"/>
            <w:vAlign w:val="center"/>
            <w:textDirection w:val="lrTb"/>
            <w:noWrap w:val="false"/>
          </w:tcPr>
          <w:p>
            <w:pPr>
              <w:jc w:val="center"/>
              <w:widowControl/>
              <w:rPr>
                <w:b/>
                <w:color w:val="000000"/>
                <w:sz w:val="24"/>
              </w:rPr>
            </w:pPr>
            <w:r>
              <w:rPr>
                <w:b/>
                <w:color w:val="000000"/>
                <w:sz w:val="24"/>
              </w:rPr>
              <w:t xml:space="preserve">审查因素</w:t>
            </w:r>
            <w:r/>
          </w:p>
        </w:tc>
        <w:tc>
          <w:tcPr>
            <w:tcW w:w="6623"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836" w:type="dxa"/>
            <w:vAlign w:val="center"/>
            <w:textDirection w:val="lrTb"/>
            <w:noWrap w:val="false"/>
          </w:tcPr>
          <w:p>
            <w:pPr>
              <w:jc w:val="center"/>
              <w:widowControl/>
              <w:rPr>
                <w:color w:val="000000"/>
                <w:sz w:val="24"/>
              </w:rPr>
            </w:pPr>
            <w:r>
              <w:rPr>
                <w:color w:val="000000"/>
                <w:sz w:val="24"/>
              </w:rPr>
              <w:t xml:space="preserve">1</w:t>
            </w:r>
            <w:r/>
          </w:p>
        </w:tc>
        <w:tc>
          <w:tcPr>
            <w:tcW w:w="178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响应函、法定代表人资格证明书和政府采购供应商信用承诺书</w:t>
            </w:r>
            <w:r/>
          </w:p>
        </w:tc>
        <w:tc>
          <w:tcPr>
            <w:tcW w:w="6623" w:type="dxa"/>
            <w:vAlign w:val="center"/>
            <w:textDirection w:val="lrTb"/>
            <w:noWrap w:val="false"/>
          </w:tcPr>
          <w:p>
            <w:pPr>
              <w:jc w:val="left"/>
              <w:widowControl/>
              <w:rPr>
                <w:color w:val="000000"/>
                <w:sz w:val="24"/>
              </w:rPr>
            </w:pPr>
            <w:r>
              <w:rPr>
                <w:color w:val="000000"/>
                <w:sz w:val="24"/>
              </w:rPr>
              <w:t xml:space="preserve">按磋商文件要求提供</w:t>
            </w:r>
            <w:r>
              <w:rPr>
                <w:rFonts w:hint="eastAsia"/>
                <w:color w:val="000000"/>
                <w:sz w:val="24"/>
              </w:rPr>
              <w:t xml:space="preserve">响应函、法定代表人资格证明书和政府采购供应商信用承诺书</w:t>
            </w:r>
            <w:r>
              <w:rPr>
                <w:color w:val="000000"/>
                <w:sz w:val="24"/>
              </w:rPr>
              <w:t xml:space="preserve">；</w:t>
            </w:r>
            <w:r/>
          </w:p>
        </w:tc>
      </w:tr>
      <w:tr>
        <w:trPr>
          <w:jc w:val="center"/>
          <w:trHeight w:val="685"/>
        </w:trPr>
        <w:tc>
          <w:tcPr>
            <w:tcW w:w="836" w:type="dxa"/>
            <w:vAlign w:val="center"/>
            <w:textDirection w:val="lrTb"/>
            <w:noWrap w:val="false"/>
          </w:tcPr>
          <w:p>
            <w:pPr>
              <w:jc w:val="center"/>
              <w:widowControl/>
              <w:rPr>
                <w:color w:val="000000"/>
                <w:sz w:val="24"/>
              </w:rPr>
            </w:pPr>
            <w:r>
              <w:rPr>
                <w:color w:val="000000"/>
                <w:sz w:val="24"/>
              </w:rPr>
              <w:t xml:space="preserve">2</w:t>
            </w:r>
            <w:r/>
          </w:p>
        </w:tc>
        <w:tc>
          <w:tcPr>
            <w:tcW w:w="1783" w:type="dxa"/>
            <w:vAlign w:val="center"/>
            <w:textDirection w:val="lrTb"/>
            <w:noWrap w:val="false"/>
          </w:tcPr>
          <w:p>
            <w:pPr>
              <w:jc w:val="left"/>
              <w:widowControl/>
              <w:rPr>
                <w:color w:val="000000"/>
                <w:sz w:val="24"/>
                <w:highlight w:val="none"/>
              </w:rPr>
            </w:pPr>
            <w:r>
              <w:rPr>
                <w:color w:val="000000"/>
                <w:sz w:val="24"/>
                <w:highlight w:val="none"/>
              </w:rPr>
              <w:t xml:space="preserve">响应完整性</w:t>
            </w:r>
            <w:r/>
          </w:p>
        </w:tc>
        <w:tc>
          <w:tcPr>
            <w:tcW w:w="6623" w:type="dxa"/>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将一个采购包中的内容拆开响应；</w:t>
            </w:r>
            <w:r/>
          </w:p>
        </w:tc>
      </w:tr>
      <w:tr>
        <w:trPr>
          <w:jc w:val="center"/>
          <w:trHeight w:val="685"/>
        </w:trPr>
        <w:tc>
          <w:tcPr>
            <w:tcW w:w="836"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1783" w:type="dxa"/>
            <w:vAlign w:val="center"/>
            <w:textDirection w:val="lrTb"/>
            <w:noWrap w:val="false"/>
          </w:tcPr>
          <w:p>
            <w:pPr>
              <w:jc w:val="left"/>
              <w:widowControl/>
              <w:rPr>
                <w:color w:val="000000"/>
                <w:sz w:val="24"/>
                <w:highlight w:val="none"/>
              </w:rPr>
            </w:pPr>
            <w:r>
              <w:rPr>
                <w:color w:val="000000"/>
                <w:sz w:val="24"/>
                <w:highlight w:val="none"/>
              </w:rPr>
              <w:t xml:space="preserve">响应报价</w:t>
            </w:r>
            <w:r/>
          </w:p>
        </w:tc>
        <w:tc>
          <w:tcPr>
            <w:tcW w:w="6623" w:type="dxa"/>
            <w:vAlign w:val="center"/>
            <w:textDirection w:val="lrTb"/>
            <w:noWrap w:val="false"/>
          </w:tcPr>
          <w:p>
            <w:pPr>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w:t>
            </w:r>
            <w:bookmarkStart w:id="743" w:name="_GoBack"/>
            <w:r/>
            <w:bookmarkEnd w:id="743"/>
            <w:r>
              <w:rPr>
                <w:color w:val="000000"/>
                <w:sz w:val="24"/>
                <w:highlight w:val="none"/>
              </w:rPr>
              <w:t xml:space="preserve">限价；</w:t>
            </w:r>
            <w:r/>
          </w:p>
        </w:tc>
      </w:tr>
      <w:tr>
        <w:trPr>
          <w:jc w:val="center"/>
          <w:trHeight w:val="650"/>
        </w:trPr>
        <w:tc>
          <w:tcPr>
            <w:tcW w:w="836"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1783"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6623" w:type="dxa"/>
            <w:vAlign w:val="center"/>
            <w:textDirection w:val="lrTb"/>
            <w:noWrap w:val="false"/>
          </w:tcPr>
          <w:p>
            <w:pPr>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sz w:val="24"/>
                <w:highlight w:val="none"/>
              </w:rPr>
              <w:t xml:space="preserve">出现可选择性或可调整的报价（磋商文件另有规定的除外）</w:t>
            </w:r>
            <w:r>
              <w:rPr>
                <w:color w:val="000000"/>
                <w:sz w:val="24"/>
                <w:highlight w:val="none"/>
              </w:rPr>
              <w:t xml:space="preserve">；</w:t>
            </w:r>
            <w:r/>
          </w:p>
        </w:tc>
      </w:tr>
      <w:tr>
        <w:trPr>
          <w:jc w:val="center"/>
          <w:trHeight w:val="685"/>
        </w:trPr>
        <w:tc>
          <w:tcPr>
            <w:tcW w:w="836"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1783" w:type="dxa"/>
            <w:vAlign w:val="center"/>
            <w:textDirection w:val="lrTb"/>
            <w:noWrap w:val="false"/>
          </w:tcPr>
          <w:p>
            <w:pPr>
              <w:jc w:val="left"/>
              <w:widowControl/>
              <w:rPr>
                <w:color w:val="000000"/>
                <w:sz w:val="24"/>
                <w:highlight w:val="none"/>
              </w:rPr>
            </w:pPr>
            <w:r>
              <w:rPr>
                <w:color w:val="000000"/>
                <w:sz w:val="24"/>
                <w:highlight w:val="none"/>
              </w:rPr>
              <w:t xml:space="preserve">响应有效期</w:t>
            </w:r>
            <w:r/>
          </w:p>
        </w:tc>
        <w:tc>
          <w:tcPr>
            <w:tcW w:w="6623" w:type="dxa"/>
            <w:vAlign w:val="center"/>
            <w:textDirection w:val="lrTb"/>
            <w:noWrap w:val="false"/>
          </w:tcPr>
          <w:p>
            <w:pPr>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p>
        </w:tc>
      </w:tr>
      <w:tr>
        <w:trPr>
          <w:jc w:val="center"/>
          <w:trHeight w:val="685"/>
        </w:trPr>
        <w:tc>
          <w:tcPr>
            <w:tcW w:w="836"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1783"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6623" w:type="dxa"/>
            <w:vAlign w:val="center"/>
            <w:textDirection w:val="lrTb"/>
            <w:noWrap w:val="false"/>
          </w:tcPr>
          <w:p>
            <w:pPr>
              <w:jc w:val="left"/>
              <w:widowControl/>
              <w:rPr>
                <w:color w:val="000000"/>
                <w:sz w:val="24"/>
              </w:rPr>
            </w:pPr>
            <w:r>
              <w:rPr>
                <w:color w:val="000000"/>
                <w:sz w:val="24"/>
              </w:rPr>
              <w:t xml:space="preserve">按照磋商文件要求签署、加盖公章的；</w:t>
            </w:r>
            <w:r/>
          </w:p>
        </w:tc>
      </w:tr>
      <w:tr>
        <w:trPr>
          <w:jc w:val="center"/>
          <w:trHeight w:val="685"/>
        </w:trPr>
        <w:tc>
          <w:tcPr>
            <w:tcW w:w="836"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178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6623" w:type="dxa"/>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836" w:type="dxa"/>
            <w:vAlign w:val="center"/>
            <w:textDirection w:val="lrTb"/>
            <w:noWrap w:val="false"/>
          </w:tcPr>
          <w:p>
            <w:pPr>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8</w:t>
            </w:r>
            <w:r/>
          </w:p>
        </w:tc>
        <w:tc>
          <w:tcPr>
            <w:tcW w:w="1783" w:type="dxa"/>
            <w:vAlign w:val="center"/>
            <w:textDirection w:val="lrTb"/>
            <w:noWrap w:val="false"/>
          </w:tcPr>
          <w:p>
            <w:pPr>
              <w:jc w:val="center"/>
              <w:widowControl/>
              <w:rPr>
                <w:color w:val="000000"/>
                <w:sz w:val="24"/>
                <w:highlight w:val="none"/>
              </w:rPr>
            </w:pPr>
            <w:r>
              <w:rPr>
                <w:color w:val="000000"/>
                <w:sz w:val="24"/>
                <w:highlight w:val="none"/>
              </w:rPr>
              <w:t xml:space="preserve">报价的修正（如有）</w:t>
            </w:r>
            <w:r/>
          </w:p>
        </w:tc>
        <w:tc>
          <w:tcPr>
            <w:tcW w:w="662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836" w:type="dxa"/>
            <w:vAlign w:val="center"/>
            <w:textDirection w:val="lrTb"/>
            <w:noWrap w:val="false"/>
          </w:tcPr>
          <w:p>
            <w:pPr>
              <w:jc w:val="center"/>
              <w:widowControl/>
              <w:rPr>
                <w:rFonts w:hint="eastAsia" w:eastAsia="宋体"/>
                <w:color w:val="000000"/>
                <w:sz w:val="24"/>
                <w:lang w:eastAsia="zh-CN"/>
              </w:rPr>
            </w:pPr>
            <w:r>
              <w:rPr>
                <w:rFonts w:hint="eastAsia"/>
                <w:color w:val="000000"/>
                <w:sz w:val="24"/>
                <w:lang w:val="en-US" w:eastAsia="zh-CN"/>
              </w:rPr>
              <w:t xml:space="preserve">9</w:t>
            </w:r>
            <w:r/>
          </w:p>
        </w:tc>
        <w:tc>
          <w:tcPr>
            <w:tcW w:w="1783" w:type="dxa"/>
            <w:vAlign w:val="center"/>
            <w:textDirection w:val="lrTb"/>
            <w:noWrap w:val="false"/>
          </w:tcPr>
          <w:p>
            <w:pPr>
              <w:jc w:val="left"/>
              <w:widowControl/>
              <w:rPr>
                <w:color w:val="000000"/>
                <w:sz w:val="24"/>
              </w:rPr>
            </w:pPr>
            <w:r>
              <w:rPr>
                <w:color w:val="000000"/>
                <w:sz w:val="24"/>
              </w:rPr>
              <w:t xml:space="preserve">公平竞争</w:t>
            </w:r>
            <w:r/>
          </w:p>
        </w:tc>
        <w:tc>
          <w:tcPr>
            <w:tcW w:w="6623" w:type="dxa"/>
            <w:vAlign w:val="center"/>
            <w:textDirection w:val="lrTb"/>
            <w:noWrap w:val="false"/>
          </w:tcPr>
          <w:p>
            <w:pPr>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836" w:type="dxa"/>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10</w:t>
            </w:r>
            <w:r/>
          </w:p>
        </w:tc>
        <w:tc>
          <w:tcPr>
            <w:tcW w:w="1783" w:type="dxa"/>
            <w:vAlign w:val="center"/>
            <w:textDirection w:val="lrTb"/>
            <w:noWrap w:val="false"/>
          </w:tcPr>
          <w:p>
            <w:pPr>
              <w:jc w:val="left"/>
              <w:widowControl/>
              <w:rPr>
                <w:color w:val="000000"/>
                <w:sz w:val="24"/>
              </w:rPr>
            </w:pPr>
            <w:r>
              <w:rPr>
                <w:color w:val="000000"/>
                <w:sz w:val="24"/>
              </w:rPr>
              <w:t xml:space="preserve">串通响应</w:t>
            </w:r>
            <w:r/>
          </w:p>
        </w:tc>
        <w:tc>
          <w:tcPr>
            <w:tcW w:w="6623"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p>
        </w:tc>
      </w:tr>
      <w:tr>
        <w:trPr>
          <w:jc w:val="center"/>
          <w:trHeight w:val="685"/>
        </w:trPr>
        <w:tc>
          <w:tcPr>
            <w:tcW w:w="836" w:type="dxa"/>
            <w:vAlign w:val="center"/>
            <w:textDirection w:val="lrTb"/>
            <w:noWrap w:val="false"/>
          </w:tcPr>
          <w:p>
            <w:pPr>
              <w:jc w:val="center"/>
              <w:widowControl/>
              <w:rPr>
                <w:rFonts w:hint="eastAsia" w:eastAsia="宋体"/>
                <w:color w:val="000000"/>
                <w:sz w:val="24"/>
                <w:lang w:val="en-US" w:eastAsia="zh-CN"/>
              </w:rPr>
            </w:pPr>
            <w:r>
              <w:rPr>
                <w:color w:val="000000"/>
                <w:sz w:val="24"/>
              </w:rPr>
              <w:t xml:space="preserve">1</w:t>
            </w:r>
            <w:r>
              <w:rPr>
                <w:rFonts w:hint="eastAsia"/>
                <w:color w:val="000000"/>
                <w:sz w:val="24"/>
                <w:lang w:val="en-US" w:eastAsia="zh-CN"/>
              </w:rPr>
              <w:t xml:space="preserve">1</w:t>
            </w:r>
            <w:r/>
          </w:p>
        </w:tc>
        <w:tc>
          <w:tcPr>
            <w:tcW w:w="1783" w:type="dxa"/>
            <w:vAlign w:val="center"/>
            <w:textDirection w:val="lrTb"/>
            <w:noWrap w:val="false"/>
          </w:tcPr>
          <w:p>
            <w:pPr>
              <w:jc w:val="left"/>
              <w:widowControl/>
              <w:rPr>
                <w:color w:val="000000"/>
                <w:sz w:val="24"/>
              </w:rPr>
            </w:pPr>
            <w:r>
              <w:rPr>
                <w:color w:val="000000"/>
                <w:sz w:val="24"/>
              </w:rPr>
              <w:t xml:space="preserve">附加条件</w:t>
            </w:r>
            <w:r/>
          </w:p>
        </w:tc>
        <w:tc>
          <w:tcPr>
            <w:tcW w:w="6623" w:type="dxa"/>
            <w:vAlign w:val="center"/>
            <w:textDirection w:val="lrTb"/>
            <w:noWrap w:val="false"/>
          </w:tcPr>
          <w:p>
            <w:pPr>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p>
        </w:tc>
      </w:tr>
      <w:tr>
        <w:trPr>
          <w:jc w:val="center"/>
          <w:trHeight w:val="304"/>
        </w:trPr>
        <w:tc>
          <w:tcPr>
            <w:tcW w:w="836" w:type="dxa"/>
            <w:vAlign w:val="center"/>
            <w:textDirection w:val="lrTb"/>
            <w:noWrap w:val="false"/>
          </w:tcPr>
          <w:p>
            <w:pPr>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2</w:t>
            </w:r>
            <w:r/>
          </w:p>
        </w:tc>
        <w:tc>
          <w:tcPr>
            <w:tcW w:w="1783" w:type="dxa"/>
            <w:vAlign w:val="center"/>
            <w:textDirection w:val="lrTb"/>
            <w:noWrap w:val="false"/>
          </w:tcPr>
          <w:p>
            <w:pPr>
              <w:jc w:val="left"/>
              <w:widowControl/>
              <w:rPr>
                <w:color w:val="000000"/>
                <w:sz w:val="24"/>
              </w:rPr>
            </w:pPr>
            <w:r>
              <w:rPr>
                <w:color w:val="000000"/>
                <w:sz w:val="24"/>
              </w:rPr>
              <w:t xml:space="preserve">其他无效情形</w:t>
            </w:r>
            <w:r/>
          </w:p>
        </w:tc>
        <w:tc>
          <w:tcPr>
            <w:tcW w:w="6623" w:type="dxa"/>
            <w:vAlign w:val="center"/>
            <w:textDirection w:val="lrTb"/>
            <w:noWrap w:val="false"/>
          </w:tcPr>
          <w:p>
            <w:pPr>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p>
        </w:tc>
      </w:tr>
    </w:tbl>
    <w:p>
      <w:pPr>
        <w:numPr>
          <w:ilvl w:val="0"/>
          <w:numId w:val="11"/>
        </w:numPr>
        <w:spacing w:line="360" w:lineRule="auto"/>
        <w:tabs>
          <w:tab w:val="left" w:pos="360" w:leader="none"/>
        </w:tabs>
        <w:rPr>
          <w:sz w:val="24"/>
        </w:rPr>
        <w:outlineLvl w:val="1"/>
      </w:pPr>
      <w:r>
        <w:rPr>
          <w:sz w:val="24"/>
        </w:rPr>
        <w:t xml:space="preserve">磋商、响应文件有关事项的澄清、说明或者更正和最终报价</w:t>
      </w:r>
      <w:r/>
    </w:p>
    <w:p>
      <w:pPr>
        <w:numPr>
          <w:ilvl w:val="1"/>
          <w:numId w:val="11"/>
        </w:numPr>
        <w:ind w:left="1077" w:hanging="720"/>
        <w:spacing w:line="360" w:lineRule="auto"/>
        <w:tabs>
          <w:tab w:val="left" w:pos="1080" w:leader="none"/>
        </w:tabs>
        <w:rPr>
          <w:sz w:val="24"/>
        </w:rPr>
      </w:pPr>
      <w:r>
        <w:rPr>
          <w:sz w:val="24"/>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w:t>
      </w:r>
      <w:r>
        <w:rPr>
          <w:rFonts w:hint="eastAsia"/>
          <w:sz w:val="24"/>
          <w:lang w:eastAsia="zh-CN"/>
        </w:rPr>
        <w:t xml:space="preserve">“苏采云”</w:t>
      </w:r>
      <w:r>
        <w:rPr>
          <w:rFonts w:hint="eastAsia"/>
          <w:sz w:val="24"/>
        </w:rPr>
        <w:t xml:space="preserve">系统</w:t>
      </w:r>
      <w:r>
        <w:rPr>
          <w:sz w:val="24"/>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sz w:val="24"/>
        </w:rPr>
      </w:pP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rFonts w:hint="eastAsia"/>
          <w:sz w:val="24"/>
          <w:lang w:eastAsia="zh-CN"/>
        </w:rPr>
        <w:t xml:space="preserve">“苏采云”</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11"/>
        </w:numPr>
        <w:ind w:left="1077" w:hanging="720"/>
        <w:spacing w:line="360" w:lineRule="auto"/>
        <w:tabs>
          <w:tab w:val="left" w:pos="1080" w:leader="none"/>
          <w:tab w:val="left" w:pos="1872" w:leader="none"/>
        </w:tabs>
        <w:rPr>
          <w:b/>
          <w:sz w:val="24"/>
        </w:rPr>
      </w:pPr>
      <w:r>
        <w:rPr>
          <w:b/>
          <w:sz w:val="24"/>
        </w:rPr>
        <w:t xml:space="preserve">磋商结束后，</w:t>
      </w:r>
      <w:r>
        <w:rPr>
          <w:rFonts w:hint="eastAsia"/>
          <w:b/>
          <w:sz w:val="24"/>
        </w:rPr>
        <w:t xml:space="preserve">磋商结束后，磋商小组将要求所有实质性响应的供应商在规定时间内通过“苏采云”系统提交最终报价。最终报价不得高于首次报价。</w:t>
      </w:r>
      <w:r/>
    </w:p>
    <w:p>
      <w:pPr>
        <w:numPr>
          <w:ilvl w:val="1"/>
          <w:numId w:val="11"/>
        </w:numPr>
        <w:ind w:left="1077" w:hanging="720"/>
        <w:spacing w:line="360" w:lineRule="auto"/>
        <w:tabs>
          <w:tab w:val="left" w:pos="1080" w:leader="none"/>
          <w:tab w:val="left" w:pos="1872" w:leader="none"/>
        </w:tabs>
        <w:rPr>
          <w:sz w:val="24"/>
        </w:rPr>
      </w:pP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sz w:val="24"/>
        </w:rPr>
      </w:pPr>
      <w:r>
        <w:rPr>
          <w:sz w:val="24"/>
        </w:rPr>
        <w:t xml:space="preserve">已提交响应文件的供应商，在提交最终报价之前，可以根据磋商情况退出磋商。</w:t>
      </w:r>
      <w:r/>
    </w:p>
    <w:p>
      <w:pPr>
        <w:numPr>
          <w:ilvl w:val="0"/>
          <w:numId w:val="11"/>
        </w:numPr>
        <w:spacing w:line="360" w:lineRule="auto"/>
        <w:tabs>
          <w:tab w:val="left" w:pos="360" w:leader="none"/>
        </w:tabs>
        <w:rPr>
          <w:sz w:val="24"/>
        </w:rPr>
        <w:outlineLvl w:val="1"/>
      </w:pPr>
      <w:r>
        <w:rPr>
          <w:sz w:val="24"/>
        </w:rPr>
        <w:t xml:space="preserve">最终报价的算术修正及政策调整</w:t>
      </w:r>
      <w:r/>
    </w:p>
    <w:p>
      <w:pPr>
        <w:numPr>
          <w:ilvl w:val="1"/>
          <w:numId w:val="11"/>
        </w:numPr>
        <w:ind w:left="1077" w:hanging="720"/>
        <w:spacing w:line="360" w:lineRule="auto"/>
        <w:tabs>
          <w:tab w:val="left" w:pos="1080"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sz w:val="24"/>
        </w:rPr>
      </w:pPr>
      <w:r>
        <w:rPr>
          <w:sz w:val="24"/>
        </w:rPr>
        <w:t xml:space="preserve">其他为落实政府采购政策实施的优先采购：______。</w:t>
      </w:r>
      <w:r/>
    </w:p>
    <w:p>
      <w:pPr>
        <w:numPr>
          <w:ilvl w:val="0"/>
          <w:numId w:val="11"/>
        </w:numPr>
        <w:spacing w:line="360" w:lineRule="auto"/>
        <w:tabs>
          <w:tab w:val="left" w:pos="36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1"/>
        </w:numPr>
        <w:ind w:left="1077" w:hanging="720"/>
        <w:spacing w:line="360" w:lineRule="auto"/>
        <w:tabs>
          <w:tab w:val="left" w:pos="1080" w:leader="none"/>
        </w:tabs>
        <w:rPr>
          <w:sz w:val="24"/>
        </w:rPr>
      </w:pPr>
      <w:r>
        <w:rPr>
          <w:sz w:val="24"/>
        </w:rPr>
        <w:t xml:space="preserve">供应商对实质性变动不予确认的；</w:t>
      </w:r>
      <w:r/>
    </w:p>
    <w:p>
      <w:pPr>
        <w:numPr>
          <w:ilvl w:val="1"/>
          <w:numId w:val="11"/>
        </w:numPr>
        <w:ind w:left="1077" w:hanging="720"/>
        <w:spacing w:line="360" w:lineRule="auto"/>
        <w:tabs>
          <w:tab w:val="left" w:pos="1080"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1"/>
        </w:numPr>
        <w:ind w:left="1077" w:hanging="720"/>
        <w:spacing w:line="360" w:lineRule="auto"/>
        <w:tabs>
          <w:tab w:val="left" w:pos="1080" w:leader="none"/>
        </w:tabs>
        <w:rPr>
          <w:sz w:val="24"/>
        </w:rPr>
      </w:pPr>
      <w:r>
        <w:rPr>
          <w:sz w:val="24"/>
        </w:rPr>
        <w:t xml:space="preserve">未按照磋商小组规定的时间、逾期提交最终报价的；</w:t>
      </w:r>
      <w:r/>
    </w:p>
    <w:p>
      <w:pPr>
        <w:numPr>
          <w:ilvl w:val="1"/>
          <w:numId w:val="11"/>
        </w:numPr>
        <w:ind w:left="1077" w:hanging="720"/>
        <w:spacing w:line="360" w:lineRule="auto"/>
        <w:tabs>
          <w:tab w:val="left" w:pos="1080" w:leader="none"/>
        </w:tabs>
        <w:rPr>
          <w:sz w:val="24"/>
        </w:rPr>
      </w:pPr>
      <w:r>
        <w:rPr>
          <w:sz w:val="24"/>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sz w:val="24"/>
        </w:rPr>
      </w:pPr>
      <w:r>
        <w:rPr>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sz w:val="24"/>
        </w:rPr>
      </w:pPr>
      <w:r>
        <w:rPr>
          <w:sz w:val="24"/>
        </w:rPr>
        <w:t xml:space="preserve">最终报价出现前后不一致，供应商对修正后的报价不予确认的；</w:t>
      </w:r>
      <w:r/>
    </w:p>
    <w:p>
      <w:pPr>
        <w:numPr>
          <w:ilvl w:val="1"/>
          <w:numId w:val="11"/>
        </w:numPr>
        <w:ind w:left="1077" w:hanging="720"/>
        <w:spacing w:line="360" w:lineRule="auto"/>
        <w:tabs>
          <w:tab w:val="left" w:pos="1080" w:leader="none"/>
        </w:tabs>
        <w:rPr>
          <w:sz w:val="24"/>
        </w:rPr>
      </w:pPr>
      <w:r>
        <w:rPr>
          <w:sz w:val="24"/>
        </w:rPr>
        <w:t xml:space="preserve">其他：______。</w:t>
      </w:r>
      <w:bookmarkEnd w:id="622"/>
      <w:bookmarkEnd w:id="623"/>
      <w:r/>
    </w:p>
    <w:p>
      <w:pPr>
        <w:numPr>
          <w:ilvl w:val="0"/>
          <w:numId w:val="11"/>
        </w:numPr>
        <w:spacing w:line="360" w:lineRule="auto"/>
        <w:tabs>
          <w:tab w:val="left" w:pos="360" w:leader="none"/>
        </w:tabs>
        <w:rPr>
          <w:sz w:val="24"/>
        </w:rPr>
        <w:outlineLvl w:val="1"/>
      </w:pPr>
      <w:r>
        <w:rPr>
          <w:sz w:val="24"/>
        </w:rPr>
        <w:t xml:space="preserve">评审方法和评审标准</w:t>
      </w:r>
      <w:r/>
    </w:p>
    <w:p>
      <w:pPr>
        <w:numPr>
          <w:ilvl w:val="1"/>
          <w:numId w:val="11"/>
        </w:numPr>
        <w:ind w:left="1077" w:hanging="720"/>
        <w:spacing w:line="360" w:lineRule="auto"/>
        <w:tabs>
          <w:tab w:val="left" w:pos="1080"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sz w:val="24"/>
        </w:rPr>
      </w:pPr>
      <w:r>
        <w:rPr>
          <w:sz w:val="24"/>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p>
    <w:p>
      <w:pPr>
        <w:numPr>
          <w:ilvl w:val="1"/>
          <w:numId w:val="11"/>
        </w:numPr>
        <w:ind w:left="1077" w:hanging="720"/>
        <w:spacing w:line="360" w:lineRule="auto"/>
        <w:tabs>
          <w:tab w:val="left" w:pos="1080" w:leader="none"/>
          <w:tab w:val="left" w:pos="1872" w:leader="none"/>
        </w:tabs>
        <w:rPr>
          <w:sz w:val="24"/>
        </w:rPr>
      </w:pPr>
      <w:r>
        <w:rPr>
          <w:sz w:val="24"/>
        </w:rPr>
        <w:t xml:space="preserve">关于无线局域网认证产品政府采购清单中的产品，优先采购的具体规定（如涉及）______。</w:t>
      </w:r>
      <w:r/>
    </w:p>
    <w:p>
      <w:pPr>
        <w:numPr>
          <w:ilvl w:val="0"/>
          <w:numId w:val="11"/>
        </w:numPr>
        <w:spacing w:line="360" w:lineRule="auto"/>
        <w:tabs>
          <w:tab w:val="left" w:pos="360" w:leader="none"/>
        </w:tabs>
        <w:rPr>
          <w:sz w:val="24"/>
        </w:rPr>
        <w:outlineLvl w:val="1"/>
      </w:pPr>
      <w:r>
        <w:rPr>
          <w:sz w:val="24"/>
        </w:rPr>
        <w:t xml:space="preserve">确定</w:t>
      </w:r>
      <w:bookmarkStart w:id="639" w:name="_Toc226337242"/>
      <w:r/>
      <w:bookmarkStart w:id="640" w:name="_Toc151193860"/>
      <w:r/>
      <w:bookmarkStart w:id="641" w:name="_Ref467307010"/>
      <w:r/>
      <w:bookmarkStart w:id="642" w:name="_Toc520356170"/>
      <w:r/>
      <w:bookmarkStart w:id="643" w:name="_Toc127161460"/>
      <w:r/>
      <w:bookmarkStart w:id="644" w:name="_Toc264969236"/>
      <w:r/>
      <w:bookmarkStart w:id="645" w:name="_Toc305158888"/>
      <w:r/>
      <w:bookmarkStart w:id="646" w:name="_Toc226965819"/>
      <w:r/>
      <w:bookmarkStart w:id="647" w:name="_Toc151193644"/>
      <w:r/>
      <w:bookmarkStart w:id="648" w:name="_Toc150509297"/>
      <w:r/>
      <w:bookmarkStart w:id="649" w:name="_Toc164608815"/>
      <w:r/>
      <w:bookmarkStart w:id="650" w:name="_Toc195842911"/>
      <w:r/>
      <w:bookmarkStart w:id="651" w:name="_Toc305158814"/>
      <w:r/>
      <w:bookmarkStart w:id="652" w:name="_Toc164608660"/>
      <w:r/>
      <w:bookmarkStart w:id="653" w:name="_Toc150480784"/>
      <w:r/>
      <w:bookmarkStart w:id="654" w:name="_Toc164229241"/>
      <w:r/>
      <w:bookmarkStart w:id="655" w:name="_Toc127151546"/>
      <w:r/>
      <w:bookmarkStart w:id="656" w:name="_Toc151193788"/>
      <w:r/>
      <w:bookmarkStart w:id="657" w:name="_Toc151193716"/>
      <w:r/>
      <w:bookmarkStart w:id="658" w:name="_Toc149720839"/>
      <w:r/>
      <w:bookmarkStart w:id="659" w:name="_Toc226309790"/>
      <w:r/>
      <w:bookmarkStart w:id="660" w:name="_Toc142311048"/>
      <w:r/>
      <w:bookmarkStart w:id="661" w:name="_Toc151193934"/>
      <w:r/>
      <w:bookmarkStart w:id="662" w:name="_Toc151190173"/>
      <w:r/>
      <w:bookmarkStart w:id="663" w:name="_Toc164351640"/>
      <w:r/>
      <w:bookmarkStart w:id="664" w:name="_Toc265228384"/>
      <w:r/>
      <w:bookmarkStart w:id="665" w:name="_Toc226965736"/>
      <w:r/>
      <w:bookmarkStart w:id="666" w:name="_Toc150774751"/>
      <w:r/>
      <w:bookmarkStart w:id="667" w:name="_Toc127151747"/>
      <w:r/>
      <w:bookmarkStart w:id="668" w:name="_Toc150774646"/>
      <w:r/>
      <w:bookmarkStart w:id="669" w:name="_Toc164229387"/>
      <w:r>
        <w:rPr>
          <w:sz w:val="24"/>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sz w:val="24"/>
        </w:rPr>
        <w:outlineLvl w:val="1"/>
      </w:pPr>
      <w:r>
        <w:rPr>
          <w:sz w:val="24"/>
        </w:rPr>
        <w:t xml:space="preserve">报告违法行为</w:t>
      </w:r>
      <w:r/>
    </w:p>
    <w:p>
      <w:pPr>
        <w:numPr>
          <w:ilvl w:val="1"/>
          <w:numId w:val="11"/>
        </w:numPr>
        <w:ind w:left="1077" w:hanging="720"/>
        <w:jc w:val="left"/>
        <w:spacing w:line="360" w:lineRule="auto"/>
        <w:widowControl/>
        <w:tabs>
          <w:tab w:val="left" w:pos="1080"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p>
    <w:p>
      <w:pPr>
        <w:pStyle w:val="1031"/>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p>
    <w:tbl>
      <w:tblPr>
        <w:tblStyle w:val="852"/>
        <w:tblW w:w="53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955"/>
        <w:gridCol w:w="1582"/>
        <w:gridCol w:w="5341"/>
        <w:gridCol w:w="663"/>
      </w:tblGrid>
      <w:tr>
        <w:trPr>
          <w:jc w:val="center"/>
          <w:trHeight w:val="90"/>
        </w:trPr>
        <w:tc>
          <w:tcPr>
            <w:tcW w:w="1304" w:type="dxa"/>
            <w:vAlign w:val="center"/>
            <w:textDirection w:val="lrTb"/>
            <w:noWrap w:val="false"/>
          </w:tcPr>
          <w:p>
            <w:pPr>
              <w:ind w:left="628" w:hanging="626"/>
              <w:jc w:val="center"/>
              <w:spacing w:line="320" w:lineRule="exact"/>
              <w:rPr>
                <w:rFonts w:hint="eastAsia" w:ascii="宋体" w:hAnsi="宋体" w:eastAsia="宋体" w:cs="宋体"/>
                <w:szCs w:val="21"/>
                <w:highlight w:val="none"/>
              </w:rPr>
            </w:pPr>
            <w:r>
              <w:rPr>
                <w:rFonts w:hint="eastAsia" w:ascii="宋体" w:hAnsi="宋体" w:eastAsia="宋体" w:cs="宋体"/>
                <w:b/>
                <w:bCs/>
                <w:szCs w:val="21"/>
                <w:highlight w:val="none"/>
              </w:rPr>
              <w:t xml:space="preserve">评审因素</w:t>
            </w:r>
            <w:r/>
          </w:p>
        </w:tc>
        <w:tc>
          <w:tcPr>
            <w:tcW w:w="955" w:type="dxa"/>
            <w:vAlign w:val="top"/>
            <w:textDirection w:val="lrTb"/>
            <w:noWrap w:val="false"/>
          </w:tcPr>
          <w:p>
            <w:pPr>
              <w:ind w:left="628" w:hanging="626"/>
              <w:jc w:val="center"/>
              <w:spacing w:line="320" w:lineRule="exact"/>
              <w:rPr>
                <w:rFonts w:hint="eastAsia" w:ascii="宋体" w:hAnsi="宋体" w:eastAsia="宋体" w:cs="宋体"/>
                <w:szCs w:val="21"/>
                <w:highlight w:val="none"/>
              </w:rPr>
            </w:pPr>
            <w:r>
              <w:rPr>
                <w:rFonts w:hint="eastAsia" w:ascii="宋体" w:hAnsi="宋体" w:eastAsia="宋体" w:cs="宋体"/>
                <w:b/>
                <w:bCs/>
                <w:szCs w:val="21"/>
                <w:highlight w:val="none"/>
              </w:rPr>
              <w:t xml:space="preserve">分值</w:t>
            </w:r>
            <w:r/>
          </w:p>
        </w:tc>
        <w:tc>
          <w:tcPr>
            <w:gridSpan w:val="2"/>
            <w:tcW w:w="6923" w:type="dxa"/>
            <w:vAlign w:val="center"/>
            <w:textDirection w:val="lrTb"/>
            <w:noWrap w:val="false"/>
          </w:tcPr>
          <w:p>
            <w:pPr>
              <w:ind w:left="628" w:hanging="626"/>
              <w:jc w:val="center"/>
              <w:spacing w:line="320" w:lineRule="exact"/>
              <w:rPr>
                <w:rFonts w:hint="eastAsia" w:ascii="宋体" w:hAnsi="宋体" w:eastAsia="宋体" w:cs="宋体"/>
                <w:szCs w:val="21"/>
                <w:highlight w:val="none"/>
              </w:rPr>
            </w:pPr>
            <w:r>
              <w:rPr>
                <w:rFonts w:hint="eastAsia" w:ascii="宋体" w:hAnsi="宋体" w:eastAsia="宋体" w:cs="宋体"/>
                <w:b/>
                <w:bCs/>
                <w:szCs w:val="21"/>
                <w:highlight w:val="none"/>
              </w:rPr>
              <w:t xml:space="preserve">评分标准</w:t>
            </w:r>
            <w:r/>
          </w:p>
        </w:tc>
        <w:tc>
          <w:tcPr>
            <w:tcW w:w="663" w:type="dxa"/>
            <w:vAlign w:val="center"/>
            <w:textDirection w:val="lrTb"/>
            <w:noWrap w:val="false"/>
          </w:tcPr>
          <w:p>
            <w:pPr>
              <w:ind w:left="628" w:hanging="626"/>
              <w:jc w:val="center"/>
              <w:spacing w:line="320" w:lineRule="exact"/>
              <w:rPr>
                <w:rFonts w:hint="eastAsia" w:ascii="宋体" w:hAnsi="宋体" w:eastAsia="宋体" w:cs="宋体"/>
                <w:szCs w:val="21"/>
                <w:highlight w:val="none"/>
              </w:rPr>
            </w:pPr>
            <w:r>
              <w:rPr>
                <w:rFonts w:hint="eastAsia" w:ascii="宋体" w:hAnsi="宋体" w:eastAsia="宋体" w:cs="宋体"/>
                <w:b/>
                <w:bCs/>
                <w:szCs w:val="21"/>
                <w:highlight w:val="none"/>
              </w:rPr>
              <w:t xml:space="preserve">分数</w:t>
            </w:r>
            <w:r/>
          </w:p>
        </w:tc>
      </w:tr>
      <w:tr>
        <w:trPr>
          <w:jc w:val="center"/>
          <w:trHeight w:val="1822"/>
        </w:trPr>
        <w:tc>
          <w:tcPr>
            <w:tcW w:w="1304" w:type="dxa"/>
            <w:vAlign w:val="center"/>
            <w:textDirection w:val="lrTb"/>
            <w:noWrap w:val="false"/>
          </w:tcPr>
          <w:p>
            <w:pPr>
              <w:ind w:left="714" w:hanging="712"/>
              <w:jc w:val="cente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报价分</w:t>
            </w:r>
            <w:r/>
          </w:p>
        </w:tc>
        <w:tc>
          <w:tcPr>
            <w:tcW w:w="955" w:type="dxa"/>
            <w:vAlign w:val="center"/>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gridSpan w:val="2"/>
            <w:tcW w:w="6923" w:type="dxa"/>
            <w:vAlign w:val="center"/>
            <w:textDirection w:val="lrTb"/>
            <w:noWrap w:val="false"/>
          </w:tcPr>
          <w:p>
            <w:pPr>
              <w:jc w:val="left"/>
              <w:spacing w:line="320" w:lineRule="exact"/>
              <w:tabs>
                <w:tab w:val="left" w:pos="594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价格分计算公式：</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满足磋商文件要求且投标报价最低为评标基准价，得分为满分。价格分取小数点后两位，余数按四舍五入法计算。计算公式为：投标报价得分=（评审基准价/最终磋商报价）×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%×100</w:t>
            </w:r>
            <w:r/>
          </w:p>
        </w:tc>
        <w:tc>
          <w:tcPr>
            <w:tcW w:w="663" w:type="dxa"/>
            <w:vAlign w:val="center"/>
            <w:textDirection w:val="lrTb"/>
            <w:noWrap w:val="false"/>
          </w:tcPr>
          <w:p>
            <w:pPr>
              <w:ind w:left="714" w:hanging="712"/>
              <w:jc w:val="center"/>
              <w:spacing w:line="32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r>
      <w:tr>
        <w:trPr>
          <w:jc w:val="center"/>
          <w:trHeight w:val="2457"/>
        </w:trPr>
        <w:tc>
          <w:tcPr>
            <w:tcW w:w="1304" w:type="dxa"/>
            <w:vAlign w:val="center"/>
            <w:vMerge w:val="restart"/>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主观分</w:t>
            </w:r>
            <w:r/>
          </w:p>
        </w:tc>
        <w:tc>
          <w:tcPr>
            <w:tcW w:w="955" w:type="dxa"/>
            <w:vAlign w:val="center"/>
            <w:vMerge w:val="restart"/>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55</w:t>
            </w:r>
            <w:r/>
          </w:p>
        </w:tc>
        <w:tc>
          <w:tcPr>
            <w:tcW w:w="1582" w:type="dxa"/>
            <w:vAlign w:val="center"/>
            <w:textDirection w:val="lrTb"/>
            <w:noWrap w:val="false"/>
          </w:tcPr>
          <w:p>
            <w:pPr>
              <w:jc w:val="left"/>
              <w:spacing w:line="320" w:lineRule="exact"/>
              <w:rPr>
                <w:rFonts w:ascii="宋体" w:hAnsi="宋体" w:eastAsia="宋体" w:cs="宋体"/>
                <w:sz w:val="24"/>
                <w:szCs w:val="24"/>
                <w:highlight w:val="none"/>
              </w:rPr>
            </w:pPr>
            <w:r>
              <w:rPr>
                <w:rFonts w:hint="eastAsia" w:eastAsia="宋体"/>
                <w:sz w:val="24"/>
                <w:szCs w:val="24"/>
                <w:highlight w:val="none"/>
              </w:rPr>
              <w:t xml:space="preserve">劳动力、施工机械设备及材料的投入计划和进退场计划</w:t>
            </w:r>
            <w:r/>
          </w:p>
        </w:tc>
        <w:tc>
          <w:tcPr>
            <w:tcW w:w="5341" w:type="dxa"/>
            <w:vAlign w:val="center"/>
            <w:textDirection w:val="lrTb"/>
            <w:noWrap w:val="false"/>
          </w:tcPr>
          <w:p>
            <w:pPr>
              <w:jc w:val="left"/>
              <w:rPr>
                <w:rFonts w:hint="eastAsia" w:ascii="Times New Roman" w:hAnsi="Times New Roman" w:eastAsia="宋体" w:cs="Times New Roman"/>
                <w:sz w:val="24"/>
                <w:szCs w:val="24"/>
                <w:highlight w:val="none"/>
              </w:rPr>
            </w:pPr>
            <w:r>
              <w:rPr>
                <w:rFonts w:hint="eastAsia" w:eastAsia="宋体"/>
                <w:sz w:val="24"/>
                <w:szCs w:val="24"/>
                <w:highlight w:val="none"/>
              </w:rPr>
              <w:t xml:space="preserve">劳动力、施工机械设备及材料的投入计划和进退场计划</w:t>
            </w:r>
            <w:r>
              <w:rPr>
                <w:rFonts w:hint="eastAsia" w:ascii="Times New Roman" w:hAnsi="Times New Roman" w:eastAsia="宋体" w:cs="Times New Roman"/>
                <w:sz w:val="24"/>
                <w:szCs w:val="24"/>
                <w:highlight w:val="none"/>
              </w:rPr>
              <w:t xml:space="preserve">。</w:t>
            </w:r>
            <w:r/>
          </w:p>
          <w:p>
            <w:pPr>
              <w:jc w:val="left"/>
              <w:spacing w:line="32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方案科学合理、详细、专业、针对性强，得</w:t>
            </w:r>
            <w:r>
              <w:rPr>
                <w:rFonts w:hint="eastAsia" w:ascii="Times New Roman" w:hAnsi="Times New Roman" w:eastAsia="宋体" w:cs="Times New Roman"/>
                <w:sz w:val="24"/>
                <w:szCs w:val="24"/>
                <w:highlight w:val="none"/>
                <w:lang w:val="en-US" w:eastAsia="zh-CN"/>
              </w:rPr>
              <w:t xml:space="preserve">1</w:t>
            </w: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分；</w:t>
            </w:r>
            <w:r/>
          </w:p>
          <w:p>
            <w:pPr>
              <w:jc w:val="left"/>
              <w:spacing w:line="32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方案合理、详细、有针对性，得</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分；</w:t>
            </w:r>
            <w:r/>
          </w:p>
          <w:p>
            <w:pPr>
              <w:jc w:val="left"/>
              <w:spacing w:line="32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方案简单可行，得</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分；</w:t>
            </w:r>
            <w:r/>
          </w:p>
          <w:p>
            <w:pPr>
              <w:jc w:val="left"/>
              <w:spacing w:line="320" w:lineRule="exact"/>
              <w:rPr>
                <w:rFonts w:hint="eastAsia" w:ascii="宋体" w:hAnsi="宋体" w:eastAsia="宋体" w:cs="宋体"/>
                <w:sz w:val="24"/>
                <w:szCs w:val="24"/>
                <w:highlight w:val="none"/>
                <w:lang w:eastAsia="zh-CN"/>
              </w:rPr>
            </w:pPr>
            <w:r>
              <w:rPr>
                <w:rFonts w:hint="eastAsia" w:ascii="Times New Roman" w:hAnsi="Times New Roman" w:eastAsia="宋体" w:cs="Times New Roman"/>
                <w:sz w:val="24"/>
                <w:szCs w:val="24"/>
                <w:highlight w:val="none"/>
              </w:rPr>
              <w:t xml:space="preserve">其他不得分</w:t>
            </w:r>
            <w:r>
              <w:rPr>
                <w:rFonts w:hint="eastAsia" w:ascii="Times New Roman" w:hAnsi="Times New Roman" w:eastAsia="宋体" w:cs="Times New Roman"/>
                <w:sz w:val="24"/>
                <w:szCs w:val="24"/>
                <w:highlight w:val="none"/>
                <w:lang w:eastAsia="zh-CN"/>
              </w:rPr>
              <w:t xml:space="preserve">。</w:t>
            </w:r>
            <w:r/>
          </w:p>
        </w:tc>
        <w:tc>
          <w:tcPr>
            <w:tcW w:w="663" w:type="dxa"/>
            <w:vAlign w:val="center"/>
            <w:textDirection w:val="lrTb"/>
            <w:noWrap w:val="false"/>
          </w:tcPr>
          <w:p>
            <w:pPr>
              <w:ind w:left="714" w:hanging="712"/>
              <w:jc w:val="center"/>
              <w:spacing w:line="32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r>
      <w:tr>
        <w:trPr>
          <w:jc w:val="center"/>
          <w:trHeight w:val="3067"/>
        </w:trPr>
        <w:tc>
          <w:tcPr>
            <w:tcW w:w="1304" w:type="dxa"/>
            <w:vAlign w:val="center"/>
            <w:vMerge w:val="continue"/>
            <w:textDirection w:val="lrTb"/>
            <w:noWrap w:val="false"/>
          </w:tcPr>
          <w:p>
            <w:pPr>
              <w:ind w:left="714" w:hanging="712"/>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5" w:type="dxa"/>
            <w:vAlign w:val="top"/>
            <w:vMerge w:val="continue"/>
            <w:textDirection w:val="lrTb"/>
            <w:noWrap w:val="false"/>
          </w:tcPr>
          <w:p>
            <w:pPr>
              <w:ind w:left="714" w:hanging="712"/>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2" w:type="dxa"/>
            <w:vAlign w:val="center"/>
            <w:textDirection w:val="lrTb"/>
            <w:noWrap w:val="false"/>
          </w:tcPr>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应急预案</w:t>
            </w:r>
            <w:r/>
          </w:p>
        </w:tc>
        <w:tc>
          <w:tcPr>
            <w:tcW w:w="534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1、应对突发事件（恶劣天气、抢险救灾等）措施合理的应急预案。</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2、应对维修作业过程中可能出现的安全风险，提出合理的措施。</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方案科学合理、详细、专业、针对性强，得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方案合理、详细、有针对性，得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方案简单可行，得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其他不得分。</w:t>
            </w:r>
            <w:r/>
          </w:p>
        </w:tc>
        <w:tc>
          <w:tcPr>
            <w:tcW w:w="663" w:type="dxa"/>
            <w:vAlign w:val="center"/>
            <w:textDirection w:val="lrTb"/>
            <w:noWrap w:val="false"/>
          </w:tcPr>
          <w:p>
            <w:pPr>
              <w:ind w:left="714" w:hanging="712"/>
              <w:jc w:val="center"/>
              <w:spacing w:line="32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r>
      <w:tr>
        <w:trPr>
          <w:jc w:val="center"/>
          <w:trHeight w:val="2562"/>
        </w:trPr>
        <w:tc>
          <w:tcPr>
            <w:tcW w:w="1304" w:type="dxa"/>
            <w:vAlign w:val="center"/>
            <w:vMerge w:val="continue"/>
            <w:textDirection w:val="lrTb"/>
            <w:noWrap w:val="false"/>
          </w:tcPr>
          <w:p>
            <w:pPr>
              <w:ind w:left="714" w:hanging="712"/>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5" w:type="dxa"/>
            <w:vAlign w:val="top"/>
            <w:vMerge w:val="continue"/>
            <w:textDirection w:val="lrTb"/>
            <w:noWrap w:val="false"/>
          </w:tcPr>
          <w:p>
            <w:pPr>
              <w:ind w:left="714" w:hanging="712"/>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2" w:type="dxa"/>
            <w:vAlign w:val="center"/>
            <w:textDirection w:val="lrTb"/>
            <w:noWrap w:val="false"/>
          </w:tcPr>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工作重点、难点及其解决措施</w:t>
            </w:r>
            <w:r/>
          </w:p>
        </w:tc>
        <w:tc>
          <w:tcPr>
            <w:tcW w:w="5341" w:type="dxa"/>
            <w:vAlign w:val="center"/>
            <w:textDirection w:val="lrTb"/>
            <w:noWrap w:val="false"/>
          </w:tcPr>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根据本项目工作重点、难点，提出其解决措施及方案。</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方案科学合理、详细、专业、针对性强，得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方案合理、详细、有针对性，得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方案简单可行，得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其他不得分。</w:t>
            </w:r>
            <w:r/>
          </w:p>
        </w:tc>
        <w:tc>
          <w:tcPr>
            <w:tcW w:w="663" w:type="dxa"/>
            <w:vAlign w:val="center"/>
            <w:textDirection w:val="lrTb"/>
            <w:noWrap w:val="false"/>
          </w:tcPr>
          <w:p>
            <w:pPr>
              <w:ind w:left="714" w:hanging="712"/>
              <w:jc w:val="center"/>
              <w:spacing w:line="320" w:lineRule="exact"/>
              <w:rPr>
                <w:rFonts w:hint="default" w:ascii="宋体" w:hAnsi="宋体" w:eastAsia="宋体" w:cs="宋体"/>
                <w:color w:val="000000"/>
                <w:sz w:val="24"/>
                <w:szCs w:val="24"/>
                <w:highlight w:val="none"/>
                <w:lang w:val="en-US" w:eastAsia="zh-CN"/>
              </w:rPr>
            </w:pPr>
            <w:r>
              <w:rPr>
                <w:rFonts w:hint="eastAsia" w:ascii="宋体" w:hAnsi="宋体" w:cs="宋体"/>
                <w:sz w:val="24"/>
                <w:szCs w:val="24"/>
                <w:highlight w:val="none"/>
                <w:lang w:val="en-US" w:eastAsia="zh-CN"/>
              </w:rPr>
              <w:t xml:space="preserve">11</w:t>
            </w:r>
            <w:r/>
          </w:p>
        </w:tc>
      </w:tr>
      <w:tr>
        <w:trPr>
          <w:jc w:val="center"/>
          <w:trHeight w:val="2795"/>
        </w:trPr>
        <w:tc>
          <w:tcPr>
            <w:tcW w:w="1304" w:type="dxa"/>
            <w:vAlign w:val="center"/>
            <w:vMerge w:val="continue"/>
            <w:textDirection w:val="lrTb"/>
            <w:noWrap w:val="false"/>
          </w:tcPr>
          <w:p>
            <w:pPr>
              <w:ind w:left="714" w:hanging="712"/>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5" w:type="dxa"/>
            <w:vAlign w:val="top"/>
            <w:vMerge w:val="continue"/>
            <w:textDirection w:val="lrTb"/>
            <w:noWrap w:val="false"/>
          </w:tcPr>
          <w:p>
            <w:pPr>
              <w:ind w:left="714" w:hanging="712"/>
              <w:spacing w:line="320" w:lineRule="exact"/>
              <w:rPr>
                <w:rFonts w:hint="eastAsia" w:ascii="宋体" w:hAnsi="宋体" w:eastAsia="宋体" w:cs="宋体"/>
                <w:strike/>
                <w:sz w:val="24"/>
                <w:szCs w:val="24"/>
                <w:highlight w:val="none"/>
              </w:rPr>
            </w:pPr>
            <w:r>
              <w:rPr>
                <w:rFonts w:hint="eastAsia" w:ascii="宋体" w:hAnsi="宋体" w:eastAsia="宋体" w:cs="宋体"/>
                <w:strike/>
                <w:sz w:val="24"/>
                <w:szCs w:val="24"/>
                <w:highlight w:val="none"/>
              </w:rPr>
            </w:r>
            <w:r/>
          </w:p>
        </w:tc>
        <w:tc>
          <w:tcPr>
            <w:tcW w:w="1582" w:type="dxa"/>
            <w:vAlign w:val="center"/>
            <w:textDirection w:val="lrTb"/>
            <w:noWrap w:val="false"/>
          </w:tcPr>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管理措施</w:t>
            </w:r>
            <w:r/>
          </w:p>
        </w:tc>
        <w:tc>
          <w:tcPr>
            <w:tcW w:w="5341" w:type="dxa"/>
            <w:vAlign w:val="center"/>
            <w:textDirection w:val="lrTb"/>
            <w:noWrap w:val="false"/>
          </w:tcPr>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针对本项目内容以及保证施工质量要求，提供主要维护和维修保证措施（质量、安全、文明、成本、环保等）等方案。</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方案科学合理、详细、专业、针对性强，得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方案合理、详细、有针对性，得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方案简单可行，得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其他不得分。</w:t>
            </w:r>
            <w:r/>
          </w:p>
        </w:tc>
        <w:tc>
          <w:tcPr>
            <w:tcW w:w="663" w:type="dxa"/>
            <w:vAlign w:val="center"/>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p>
        </w:tc>
      </w:tr>
      <w:tr>
        <w:trPr>
          <w:jc w:val="center"/>
          <w:trHeight w:val="1604"/>
        </w:trPr>
        <w:tc>
          <w:tcPr>
            <w:tcW w:w="1304" w:type="dxa"/>
            <w:vAlign w:val="center"/>
            <w:vMerge w:val="continue"/>
            <w:textDirection w:val="lrTb"/>
            <w:noWrap w:val="false"/>
          </w:tcPr>
          <w:p>
            <w:pPr>
              <w:ind w:left="714" w:hanging="712"/>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5" w:type="dxa"/>
            <w:vAlign w:val="top"/>
            <w:vMerge w:val="continue"/>
            <w:textDirection w:val="lrTb"/>
            <w:noWrap w:val="false"/>
          </w:tcPr>
          <w:p>
            <w:pPr>
              <w:ind w:left="714" w:hanging="712"/>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82" w:type="dxa"/>
            <w:vAlign w:val="center"/>
            <w:textDirection w:val="lrTb"/>
            <w:noWrap w:val="false"/>
          </w:tcPr>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合理化建议</w:t>
            </w:r>
            <w:r/>
          </w:p>
        </w:tc>
        <w:tc>
          <w:tcPr>
            <w:tcW w:w="5341" w:type="dxa"/>
            <w:vAlign w:val="center"/>
            <w:textDirection w:val="lrTb"/>
            <w:noWrap w:val="false"/>
          </w:tcPr>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根据行业经验及结合本项目工作内容的特殊情况，提出合理化建议。</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建议科学合理、详细、专业、针对性强，得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建议合理、详细、有针对性，得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建议简单可行，得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其他不得分。</w:t>
            </w:r>
            <w:r/>
          </w:p>
        </w:tc>
        <w:tc>
          <w:tcPr>
            <w:tcW w:w="663" w:type="dxa"/>
            <w:vAlign w:val="center"/>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p>
        </w:tc>
      </w:tr>
      <w:tr>
        <w:trPr>
          <w:jc w:val="center"/>
          <w:trHeight w:val="1700"/>
        </w:trPr>
        <w:tc>
          <w:tcPr>
            <w:tcW w:w="1304" w:type="dxa"/>
            <w:vAlign w:val="center"/>
            <w:vMerge w:val="restart"/>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客观分</w:t>
            </w:r>
            <w:r/>
          </w:p>
        </w:tc>
        <w:tc>
          <w:tcPr>
            <w:tcW w:w="955" w:type="dxa"/>
            <w:vAlign w:val="center"/>
            <w:vMerge w:val="restart"/>
            <w:textDirection w:val="lrTb"/>
            <w:noWrap w:val="false"/>
          </w:tcPr>
          <w:p>
            <w:pPr>
              <w:jc w:val="center"/>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5</w:t>
            </w:r>
            <w:r/>
          </w:p>
        </w:tc>
        <w:tc>
          <w:tcPr>
            <w:tcW w:w="1582" w:type="dxa"/>
            <w:vAlign w:val="center"/>
            <w:textDirection w:val="lrTb"/>
            <w:noWrap w:val="false"/>
          </w:tcPr>
          <w:p>
            <w:pPr>
              <w:jc w:val="left"/>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业绩</w:t>
            </w:r>
            <w:r/>
          </w:p>
        </w:tc>
        <w:tc>
          <w:tcPr>
            <w:tcW w:w="5341" w:type="dxa"/>
            <w:vAlign w:val="center"/>
            <w:textDirection w:val="lrTb"/>
            <w:noWrap w:val="false"/>
          </w:tcPr>
          <w:p>
            <w:pPr>
              <w:jc w:val="left"/>
              <w:spacing w:line="320" w:lineRule="exact"/>
              <w:rPr>
                <w:rFonts w:hint="eastAsia" w:eastAsia="宋体"/>
                <w:b w:val="0"/>
                <w:bCs w:val="0"/>
                <w:sz w:val="24"/>
                <w:szCs w:val="24"/>
                <w:highlight w:val="none"/>
                <w:lang w:val="en-US" w:eastAsia="zh-CN"/>
              </w:rPr>
            </w:pPr>
            <w:r>
              <w:rPr>
                <w:rFonts w:hint="eastAsia" w:eastAsia="宋体"/>
                <w:b w:val="0"/>
                <w:bCs w:val="0"/>
                <w:sz w:val="24"/>
                <w:szCs w:val="24"/>
                <w:highlight w:val="none"/>
                <w:lang w:val="en-US" w:eastAsia="zh-CN"/>
              </w:rPr>
              <w:t xml:space="preserve">供应商自2022年1月1日以来（以合同签订时间为准）承担过类似</w:t>
            </w:r>
            <w:r>
              <w:rPr>
                <w:rFonts w:hint="eastAsia"/>
                <w:b w:val="0"/>
                <w:bCs w:val="0"/>
                <w:sz w:val="24"/>
                <w:szCs w:val="24"/>
                <w:highlight w:val="none"/>
                <w:lang w:val="en-US" w:eastAsia="zh-CN"/>
              </w:rPr>
              <w:t xml:space="preserve">钢结构建设类项目</w:t>
            </w:r>
            <w:r>
              <w:rPr>
                <w:rFonts w:hint="eastAsia" w:eastAsia="宋体"/>
                <w:b w:val="0"/>
                <w:bCs w:val="0"/>
                <w:sz w:val="24"/>
                <w:szCs w:val="24"/>
                <w:highlight w:val="none"/>
                <w:lang w:val="en-US" w:eastAsia="zh-CN"/>
              </w:rPr>
              <w:t xml:space="preserve">业绩的，有</w:t>
            </w:r>
            <w:r>
              <w:rPr>
                <w:rFonts w:hint="eastAsia"/>
                <w:b w:val="0"/>
                <w:bCs w:val="0"/>
                <w:sz w:val="24"/>
                <w:szCs w:val="24"/>
                <w:highlight w:val="none"/>
                <w:lang w:val="en-US" w:eastAsia="zh-CN"/>
              </w:rPr>
              <w:t xml:space="preserve">一</w:t>
            </w:r>
            <w:r>
              <w:rPr>
                <w:rFonts w:hint="eastAsia" w:eastAsia="宋体"/>
                <w:b w:val="0"/>
                <w:bCs w:val="0"/>
                <w:sz w:val="24"/>
                <w:szCs w:val="24"/>
                <w:highlight w:val="none"/>
                <w:lang w:val="en-US" w:eastAsia="zh-CN"/>
              </w:rPr>
              <w:t xml:space="preserve">个得5分，本项最高</w:t>
            </w:r>
            <w:r>
              <w:rPr>
                <w:rFonts w:hint="eastAsia" w:ascii="Times New Roman" w:hAnsi="Times New Roman" w:eastAsia="宋体" w:cs="Times New Roman"/>
                <w:b w:val="0"/>
                <w:bCs w:val="0"/>
                <w:sz w:val="24"/>
                <w:szCs w:val="24"/>
                <w:highlight w:val="none"/>
                <w:lang w:val="en-US" w:eastAsia="zh-CN"/>
              </w:rPr>
              <w:t xml:space="preserve">得</w:t>
            </w:r>
            <w:r>
              <w:rPr>
                <w:rFonts w:hint="eastAsia"/>
                <w:b w:val="0"/>
                <w:bCs w:val="0"/>
                <w:sz w:val="24"/>
                <w:szCs w:val="24"/>
                <w:highlight w:val="none"/>
                <w:lang w:val="en-US" w:eastAsia="zh-CN"/>
              </w:rPr>
              <w:t xml:space="preserve">5分</w:t>
            </w:r>
            <w:r>
              <w:rPr>
                <w:rFonts w:hint="eastAsia" w:eastAsia="宋体"/>
                <w:b w:val="0"/>
                <w:bCs w:val="0"/>
                <w:sz w:val="24"/>
                <w:szCs w:val="24"/>
                <w:highlight w:val="none"/>
                <w:lang w:val="en-US" w:eastAsia="zh-CN"/>
              </w:rPr>
              <w:t xml:space="preserve">。</w:t>
            </w:r>
            <w:r/>
          </w:p>
          <w:p>
            <w:pPr>
              <w:jc w:val="left"/>
              <w:spacing w:line="320" w:lineRule="exact"/>
              <w:rPr>
                <w:rFonts w:ascii="宋体" w:hAnsi="宋体" w:eastAsia="宋体" w:cs="宋体"/>
                <w:sz w:val="24"/>
                <w:szCs w:val="24"/>
                <w:highlight w:val="none"/>
              </w:rPr>
            </w:pPr>
            <w:r>
              <w:rPr>
                <w:rFonts w:hint="eastAsia" w:eastAsia="宋体"/>
                <w:b/>
                <w:bCs/>
                <w:sz w:val="24"/>
                <w:szCs w:val="24"/>
                <w:highlight w:val="none"/>
                <w:lang w:val="en-US" w:eastAsia="zh-CN"/>
              </w:rPr>
              <w:t xml:space="preserve">（响应文件中提供</w:t>
            </w:r>
            <w:r>
              <w:rPr>
                <w:rFonts w:hint="eastAsia"/>
                <w:b/>
                <w:bCs/>
                <w:sz w:val="24"/>
                <w:szCs w:val="24"/>
                <w:highlight w:val="none"/>
                <w:lang w:val="en-US" w:eastAsia="zh-CN"/>
              </w:rPr>
              <w:t xml:space="preserve">中标通知书、</w:t>
            </w:r>
            <w:r>
              <w:rPr>
                <w:rFonts w:hint="eastAsia" w:eastAsia="宋体"/>
                <w:b/>
                <w:bCs/>
                <w:sz w:val="24"/>
                <w:szCs w:val="24"/>
                <w:highlight w:val="none"/>
                <w:lang w:val="en-US" w:eastAsia="zh-CN"/>
              </w:rPr>
              <w:t xml:space="preserve">合同</w:t>
            </w:r>
            <w:r>
              <w:rPr>
                <w:rFonts w:hint="eastAsia"/>
                <w:b/>
                <w:bCs/>
                <w:sz w:val="24"/>
                <w:szCs w:val="24"/>
                <w:highlight w:val="none"/>
                <w:lang w:val="en-US" w:eastAsia="zh-CN"/>
              </w:rPr>
              <w:t xml:space="preserve">、竣工验收证明</w:t>
            </w:r>
            <w:r>
              <w:rPr>
                <w:rFonts w:hint="eastAsia" w:eastAsia="宋体"/>
                <w:b/>
                <w:bCs/>
                <w:sz w:val="24"/>
                <w:szCs w:val="24"/>
                <w:highlight w:val="none"/>
                <w:lang w:val="en-US" w:eastAsia="zh-CN"/>
              </w:rPr>
              <w:t xml:space="preserve">等相关证明材料并加盖</w:t>
            </w:r>
            <w:r>
              <w:rPr>
                <w:rFonts w:hint="eastAsia"/>
                <w:b/>
                <w:bCs/>
                <w:sz w:val="24"/>
                <w:szCs w:val="24"/>
                <w:highlight w:val="none"/>
                <w:lang w:val="en-US" w:eastAsia="zh-CN"/>
              </w:rPr>
              <w:t xml:space="preserve">供应商</w:t>
            </w:r>
            <w:r>
              <w:rPr>
                <w:rFonts w:hint="eastAsia" w:eastAsia="宋体"/>
                <w:b/>
                <w:bCs/>
                <w:sz w:val="24"/>
                <w:szCs w:val="24"/>
                <w:highlight w:val="none"/>
                <w:lang w:val="en-US" w:eastAsia="zh-CN"/>
              </w:rPr>
              <w:t xml:space="preserve">公章，否则不得分。）</w:t>
            </w:r>
            <w:r/>
          </w:p>
        </w:tc>
        <w:tc>
          <w:tcPr>
            <w:tcW w:w="663" w:type="dxa"/>
            <w:vAlign w:val="center"/>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r>
      <w:tr>
        <w:trPr>
          <w:jc w:val="center"/>
          <w:trHeight w:val="1700"/>
        </w:trPr>
        <w:tc>
          <w:tcPr>
            <w:tcW w:w="1304" w:type="dxa"/>
            <w:vAlign w:val="center"/>
            <w:vMerge w:val="continue"/>
            <w:textDirection w:val="lrTb"/>
            <w:noWrap w:val="false"/>
          </w:tcPr>
          <w:p>
            <w:pPr>
              <w:ind w:left="714" w:hanging="712"/>
              <w:jc w:val="center"/>
              <w:spacing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955" w:type="dxa"/>
            <w:vAlign w:val="center"/>
            <w:vMerge w:val="continue"/>
            <w:textDirection w:val="lrTb"/>
            <w:noWrap w:val="false"/>
          </w:tcPr>
          <w:p>
            <w:pPr>
              <w:jc w:val="center"/>
              <w:spacing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2" w:type="dxa"/>
            <w:vAlign w:val="center"/>
            <w:textDirection w:val="lrTb"/>
            <w:noWrap w:val="false"/>
          </w:tcPr>
          <w:p>
            <w:pPr>
              <w:jc w:val="left"/>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企业荣誉</w:t>
            </w:r>
            <w:r/>
          </w:p>
        </w:tc>
        <w:tc>
          <w:tcPr>
            <w:tcW w:w="5341" w:type="dxa"/>
            <w:vAlign w:val="center"/>
            <w:textDirection w:val="lrTb"/>
            <w:noWrap w:val="false"/>
          </w:tcPr>
          <w:p>
            <w:pPr>
              <w:jc w:val="left"/>
              <w:spacing w:line="320" w:lineRule="exact"/>
              <w:rPr>
                <w:rFonts w:hint="eastAsia" w:eastAsia="宋体"/>
                <w:b/>
                <w:bCs/>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投标人</w:t>
            </w:r>
            <w:r>
              <w:rPr>
                <w:rFonts w:hint="eastAsia" w:eastAsia="宋体"/>
                <w:b w:val="0"/>
                <w:bCs w:val="0"/>
                <w:sz w:val="24"/>
                <w:szCs w:val="24"/>
                <w:highlight w:val="none"/>
                <w:lang w:val="en-US" w:eastAsia="zh-CN"/>
              </w:rPr>
              <w:t xml:space="preserve">自2022年1月1日以来</w:t>
            </w:r>
            <w:r>
              <w:rPr>
                <w:rFonts w:hint="eastAsia" w:ascii="Times New Roman" w:hAnsi="Times New Roman" w:eastAsia="宋体" w:cs="Times New Roman"/>
                <w:b w:val="0"/>
                <w:bCs w:val="0"/>
                <w:sz w:val="24"/>
                <w:szCs w:val="24"/>
                <w:highlight w:val="none"/>
                <w:lang w:val="en-US" w:eastAsia="zh-CN"/>
              </w:rPr>
              <w:t xml:space="preserve">获得过</w:t>
            </w:r>
            <w:r>
              <w:rPr>
                <w:rFonts w:hint="eastAsia" w:cs="Times New Roman"/>
                <w:b w:val="0"/>
                <w:bCs w:val="0"/>
                <w:sz w:val="24"/>
                <w:szCs w:val="24"/>
                <w:highlight w:val="none"/>
                <w:lang w:val="en-US" w:eastAsia="zh-CN"/>
              </w:rPr>
              <w:t xml:space="preserve">县</w:t>
            </w:r>
            <w:r>
              <w:rPr>
                <w:rFonts w:hint="eastAsia" w:ascii="Times New Roman" w:hAnsi="Times New Roman" w:eastAsia="宋体" w:cs="Times New Roman"/>
                <w:b w:val="0"/>
                <w:bCs w:val="0"/>
                <w:sz w:val="24"/>
                <w:szCs w:val="24"/>
                <w:highlight w:val="none"/>
                <w:lang w:val="en-US" w:eastAsia="zh-CN"/>
              </w:rPr>
              <w:t xml:space="preserve">（市）级（含）以上</w:t>
            </w:r>
            <w:r>
              <w:rPr>
                <w:rFonts w:hint="eastAsia" w:cs="Times New Roman"/>
                <w:b w:val="0"/>
                <w:bCs w:val="0"/>
                <w:sz w:val="24"/>
                <w:szCs w:val="24"/>
                <w:highlight w:val="none"/>
                <w:lang w:val="en-US" w:eastAsia="zh-CN"/>
              </w:rPr>
              <w:t xml:space="preserve">政府</w:t>
            </w:r>
            <w:r>
              <w:rPr>
                <w:rFonts w:hint="eastAsia" w:ascii="Times New Roman" w:hAnsi="Times New Roman" w:eastAsia="宋体" w:cs="Times New Roman"/>
                <w:b w:val="0"/>
                <w:bCs w:val="0"/>
                <w:sz w:val="24"/>
                <w:szCs w:val="24"/>
                <w:highlight w:val="none"/>
                <w:lang w:val="en-US" w:eastAsia="zh-CN"/>
              </w:rPr>
              <w:t xml:space="preserve">部门颁发的</w:t>
            </w:r>
            <w:r>
              <w:rPr>
                <w:rFonts w:hint="eastAsia" w:ascii="宋体" w:hAnsi="宋体" w:eastAsia="宋体" w:cs="宋体"/>
                <w:color w:val="000000"/>
                <w:sz w:val="24"/>
                <w:szCs w:val="24"/>
                <w:highlight w:val="none"/>
                <w:lang w:val="en-US" w:eastAsia="zh-CN"/>
              </w:rPr>
              <w:t xml:space="preserve">类似“先进企业”奖项或荣誉</w:t>
            </w:r>
            <w:r>
              <w:rPr>
                <w:rFonts w:hint="eastAsia" w:ascii="Times New Roman" w:hAnsi="Times New Roman" w:eastAsia="宋体" w:cs="Times New Roman"/>
                <w:b w:val="0"/>
                <w:bCs w:val="0"/>
                <w:sz w:val="24"/>
                <w:szCs w:val="24"/>
                <w:highlight w:val="none"/>
                <w:lang w:val="en-US" w:eastAsia="zh-CN"/>
              </w:rPr>
              <w:t xml:space="preserve">的有一个得4分，本项最高得8分。</w:t>
            </w:r>
            <w:r>
              <w:rPr>
                <w:rFonts w:hint="eastAsia" w:eastAsia="宋体"/>
                <w:b/>
                <w:bCs/>
                <w:sz w:val="24"/>
                <w:szCs w:val="24"/>
                <w:highlight w:val="none"/>
                <w:lang w:val="en-US" w:eastAsia="zh-CN"/>
              </w:rPr>
              <w:t xml:space="preserve">响应文件</w:t>
            </w:r>
            <w:r>
              <w:rPr>
                <w:rFonts w:hint="eastAsia" w:ascii="Times New Roman" w:hAnsi="Times New Roman" w:eastAsia="宋体" w:cs="Times New Roman"/>
                <w:b/>
                <w:bCs/>
                <w:sz w:val="24"/>
                <w:szCs w:val="24"/>
                <w:highlight w:val="none"/>
                <w:lang w:val="en-US" w:eastAsia="zh-CN"/>
              </w:rPr>
              <w:t xml:space="preserve">中提供相关证明材料复印件</w:t>
            </w:r>
            <w:r>
              <w:rPr>
                <w:rFonts w:hint="eastAsia" w:eastAsia="宋体"/>
                <w:b/>
                <w:bCs/>
                <w:sz w:val="24"/>
                <w:szCs w:val="24"/>
                <w:highlight w:val="none"/>
                <w:lang w:val="en-US" w:eastAsia="zh-CN"/>
              </w:rPr>
              <w:t xml:space="preserve">加盖</w:t>
            </w:r>
            <w:r>
              <w:rPr>
                <w:rFonts w:hint="eastAsia" w:ascii="Times New Roman" w:eastAsia="宋体"/>
                <w:b/>
                <w:bCs/>
                <w:sz w:val="24"/>
                <w:szCs w:val="24"/>
                <w:highlight w:val="none"/>
                <w:lang w:val="en-US" w:eastAsia="zh-CN"/>
              </w:rPr>
              <w:t xml:space="preserve">供应商</w:t>
            </w:r>
            <w:r>
              <w:rPr>
                <w:rFonts w:hint="eastAsia" w:eastAsia="宋体"/>
                <w:b/>
                <w:bCs/>
                <w:sz w:val="24"/>
                <w:szCs w:val="24"/>
                <w:highlight w:val="none"/>
                <w:lang w:val="en-US" w:eastAsia="zh-CN"/>
              </w:rPr>
              <w:t xml:space="preserve">公章</w:t>
            </w:r>
            <w:r>
              <w:rPr>
                <w:rFonts w:hint="eastAsia" w:ascii="Times New Roman" w:hAnsi="Times New Roman" w:eastAsia="宋体" w:cs="Times New Roman"/>
                <w:b/>
                <w:bCs/>
                <w:sz w:val="24"/>
                <w:szCs w:val="24"/>
                <w:highlight w:val="none"/>
                <w:lang w:val="en-US" w:eastAsia="zh-CN"/>
              </w:rPr>
              <w:t xml:space="preserve">。</w:t>
            </w:r>
            <w:r/>
          </w:p>
        </w:tc>
        <w:tc>
          <w:tcPr>
            <w:tcW w:w="663" w:type="dxa"/>
            <w:vAlign w:val="center"/>
            <w:textDirection w:val="lrTb"/>
            <w:noWrap w:val="false"/>
          </w:tcPr>
          <w:p>
            <w:pPr>
              <w:ind w:left="714" w:hanging="712"/>
              <w:jc w:val="center"/>
              <w:spacing w:line="32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r>
      <w:tr>
        <w:trPr>
          <w:jc w:val="center"/>
          <w:trHeight w:val="3510"/>
        </w:trPr>
        <w:tc>
          <w:tcPr>
            <w:tcW w:w="1304" w:type="dxa"/>
            <w:vAlign w:val="center"/>
            <w:vMerge w:val="continue"/>
            <w:textDirection w:val="lrTb"/>
            <w:noWrap w:val="false"/>
          </w:tcPr>
          <w:p>
            <w:pPr>
              <w:ind w:left="714" w:hanging="712"/>
              <w:jc w:val="center"/>
              <w:spacing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955" w:type="dxa"/>
            <w:vAlign w:val="center"/>
            <w:vMerge w:val="continue"/>
            <w:textDirection w:val="lrTb"/>
            <w:noWrap w:val="false"/>
          </w:tcPr>
          <w:p>
            <w:pPr>
              <w:jc w:val="center"/>
              <w:spacing w:line="320" w:lineRule="exac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W w:w="1582" w:type="dxa"/>
            <w:vAlign w:val="center"/>
            <w:textDirection w:val="lrTb"/>
            <w:noWrap w:val="false"/>
          </w:tcPr>
          <w:p>
            <w:pPr>
              <w:jc w:val="left"/>
              <w:spacing w:line="3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项目组成员</w:t>
            </w:r>
            <w:r/>
          </w:p>
        </w:tc>
        <w:tc>
          <w:tcPr>
            <w:tcW w:w="5341" w:type="dxa"/>
            <w:vAlign w:val="center"/>
            <w:textDirection w:val="lrTb"/>
            <w:noWrap w:val="false"/>
          </w:tcPr>
          <w:p>
            <w:pPr>
              <w:jc w:val="left"/>
              <w:spacing w:line="32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拟派的项目组成员（项目经理除外）</w:t>
            </w:r>
            <w:r/>
          </w:p>
          <w:p>
            <w:pPr>
              <w:jc w:val="left"/>
              <w:spacing w:line="32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①具有</w:t>
            </w:r>
            <w:r>
              <w:rPr>
                <w:rFonts w:hint="eastAsia" w:ascii="宋体" w:hAnsi="宋体" w:eastAsia="宋体" w:cs="宋体"/>
                <w:color w:val="000000"/>
                <w:spacing w:val="-4"/>
                <w:sz w:val="24"/>
                <w:szCs w:val="24"/>
                <w:highlight w:val="none"/>
                <w:lang w:val="en-US" w:eastAsia="zh-CN"/>
              </w:rPr>
              <w:t xml:space="preserve">工程类中级（含）及以上工程师职称证书的</w:t>
            </w:r>
            <w:r>
              <w:rPr>
                <w:rFonts w:hint="eastAsia" w:ascii="Times New Roman" w:hAnsi="Times New Roman" w:eastAsia="宋体" w:cs="Times New Roman"/>
                <w:b w:val="0"/>
                <w:bCs w:val="0"/>
                <w:sz w:val="24"/>
                <w:szCs w:val="24"/>
                <w:highlight w:val="none"/>
                <w:lang w:val="en-US" w:eastAsia="zh-CN"/>
              </w:rPr>
              <w:t xml:space="preserve">有一个得4分。本项限评2人，最高8分。</w:t>
            </w:r>
            <w:r/>
          </w:p>
          <w:p>
            <w:pPr>
              <w:jc w:val="left"/>
              <w:spacing w:line="32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②拟派人员中</w:t>
            </w:r>
            <w:r>
              <w:rPr>
                <w:rFonts w:hint="eastAsia" w:ascii="宋体" w:hAnsi="宋体" w:eastAsia="宋体" w:cs="宋体"/>
                <w:color w:val="000000"/>
                <w:spacing w:val="-4"/>
                <w:sz w:val="24"/>
                <w:szCs w:val="24"/>
                <w:highlight w:val="none"/>
                <w:lang w:val="en-US" w:eastAsia="zh-CN"/>
              </w:rPr>
              <w:t xml:space="preserve">具备政府职能部门颁发的专职安全生产管理人员安全生产考核合格证书(安全员C证)的</w:t>
            </w:r>
            <w:r>
              <w:rPr>
                <w:rFonts w:hint="eastAsia" w:ascii="Times New Roman" w:hAnsi="Times New Roman" w:eastAsia="宋体" w:cs="Times New Roman"/>
                <w:b w:val="0"/>
                <w:bCs w:val="0"/>
                <w:sz w:val="24"/>
                <w:szCs w:val="24"/>
                <w:highlight w:val="none"/>
                <w:lang w:val="en-US" w:eastAsia="zh-CN"/>
              </w:rPr>
              <w:t xml:space="preserve">有一个得3分。本项限评2人，最高6分。</w:t>
            </w:r>
            <w:r/>
          </w:p>
          <w:p>
            <w:pPr>
              <w:jc w:val="left"/>
              <w:spacing w:line="320" w:lineRule="exact"/>
              <w:rPr>
                <w:rFonts w:hint="default"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③拟派人员中具有有</w:t>
            </w:r>
            <w:r>
              <w:rPr>
                <w:rFonts w:hint="eastAsia" w:ascii="宋体" w:hAnsi="宋体" w:eastAsia="宋体" w:cs="宋体"/>
                <w:sz w:val="24"/>
                <w:szCs w:val="24"/>
                <w:highlight w:val="none"/>
                <w:lang w:eastAsia="zh-CN"/>
              </w:rPr>
              <w:t xml:space="preserve">具有</w:t>
            </w:r>
            <w:r>
              <w:rPr>
                <w:rFonts w:hint="eastAsia" w:ascii="宋体" w:hAnsi="宋体" w:eastAsia="宋体" w:cs="宋体"/>
                <w:sz w:val="24"/>
                <w:szCs w:val="24"/>
                <w:highlight w:val="none"/>
                <w:lang w:val="en-US" w:eastAsia="zh-CN"/>
              </w:rPr>
              <w:t xml:space="preserve">建筑工程一</w:t>
            </w:r>
            <w:r>
              <w:rPr>
                <w:rFonts w:hint="eastAsia" w:ascii="宋体" w:hAnsi="宋体" w:eastAsia="宋体" w:cs="宋体"/>
                <w:sz w:val="24"/>
                <w:szCs w:val="24"/>
                <w:highlight w:val="none"/>
                <w:lang w:eastAsia="zh-CN"/>
              </w:rPr>
              <w:t xml:space="preserve">级建造师</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，有一</w:t>
            </w:r>
            <w:r>
              <w:rPr>
                <w:rFonts w:hint="eastAsia" w:ascii="宋体" w:hAnsi="宋体" w:eastAsia="宋体" w:cs="宋体"/>
                <w:sz w:val="24"/>
                <w:szCs w:val="24"/>
                <w:highlight w:val="none"/>
                <w:lang w:val="en-US" w:eastAsia="zh-CN"/>
              </w:rPr>
              <w:t xml:space="preserve">个</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lang w:val="en-US" w:eastAsia="zh-CN"/>
              </w:rPr>
              <w:t xml:space="preserve">4分；</w:t>
            </w:r>
            <w:r>
              <w:rPr>
                <w:rFonts w:hint="eastAsia" w:ascii="宋体" w:hAnsi="宋体" w:eastAsia="宋体" w:cs="宋体"/>
                <w:sz w:val="24"/>
                <w:szCs w:val="24"/>
                <w:highlight w:val="none"/>
                <w:lang w:eastAsia="zh-CN"/>
              </w:rPr>
              <w:t xml:space="preserve">具有</w:t>
            </w:r>
            <w:r>
              <w:rPr>
                <w:rFonts w:hint="eastAsia" w:ascii="宋体" w:hAnsi="宋体" w:eastAsia="宋体" w:cs="宋体"/>
                <w:sz w:val="24"/>
                <w:szCs w:val="24"/>
                <w:highlight w:val="none"/>
                <w:lang w:val="en-US" w:eastAsia="zh-CN"/>
              </w:rPr>
              <w:t xml:space="preserve">建筑工程二</w:t>
            </w:r>
            <w:r>
              <w:rPr>
                <w:rFonts w:hint="eastAsia" w:ascii="宋体" w:hAnsi="宋体" w:eastAsia="宋体" w:cs="宋体"/>
                <w:sz w:val="24"/>
                <w:szCs w:val="24"/>
                <w:highlight w:val="none"/>
                <w:lang w:eastAsia="zh-CN"/>
              </w:rPr>
              <w:t xml:space="preserve">级建造师</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，有一</w:t>
            </w:r>
            <w:r>
              <w:rPr>
                <w:rFonts w:hint="eastAsia" w:ascii="宋体" w:hAnsi="宋体" w:eastAsia="宋体" w:cs="宋体"/>
                <w:sz w:val="24"/>
                <w:szCs w:val="24"/>
                <w:highlight w:val="none"/>
                <w:lang w:val="en-US" w:eastAsia="zh-CN"/>
              </w:rPr>
              <w:t xml:space="preserve">个</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lang w:val="en-US" w:eastAsia="zh-CN"/>
              </w:rPr>
              <w:t xml:space="preserve">2分，</w:t>
            </w:r>
            <w:r>
              <w:rPr>
                <w:rFonts w:hint="eastAsia" w:ascii="Times New Roman" w:hAnsi="Times New Roman" w:eastAsia="宋体" w:cs="Times New Roman"/>
                <w:b w:val="0"/>
                <w:bCs w:val="0"/>
                <w:sz w:val="24"/>
                <w:szCs w:val="24"/>
                <w:highlight w:val="none"/>
                <w:lang w:val="en-US" w:eastAsia="zh-CN"/>
              </w:rPr>
              <w:t xml:space="preserve">本项限评3人，</w:t>
            </w:r>
            <w:r>
              <w:rPr>
                <w:rFonts w:hint="eastAsia" w:ascii="宋体" w:hAnsi="宋体" w:eastAsia="宋体" w:cs="宋体"/>
                <w:sz w:val="24"/>
                <w:szCs w:val="24"/>
                <w:highlight w:val="none"/>
                <w:lang w:val="en-US" w:eastAsia="zh-CN"/>
              </w:rPr>
              <w:t xml:space="preserve">最高得8分</w:t>
            </w:r>
            <w:r>
              <w:rPr>
                <w:rFonts w:hint="eastAsia" w:ascii="Times New Roman" w:hAnsi="Times New Roman" w:eastAsia="宋体" w:cs="Times New Roman"/>
                <w:b w:val="0"/>
                <w:bCs w:val="0"/>
                <w:sz w:val="24"/>
                <w:szCs w:val="24"/>
                <w:highlight w:val="none"/>
                <w:lang w:val="en-US" w:eastAsia="zh-CN"/>
              </w:rPr>
              <w:t xml:space="preserve">。</w:t>
            </w:r>
            <w:r/>
          </w:p>
          <w:p>
            <w:pPr>
              <w:jc w:val="left"/>
              <w:spacing w:line="320" w:lineRule="exact"/>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注：1、所投人员不得重复得分。</w:t>
            </w:r>
            <w:r/>
          </w:p>
          <w:p>
            <w:pPr>
              <w:jc w:val="left"/>
              <w:spacing w:line="320" w:lineRule="exact"/>
              <w:rPr>
                <w:rFonts w:hint="eastAsia" w:ascii="宋体" w:hAnsi="宋体" w:eastAsia="宋体" w:cs="宋体"/>
                <w:sz w:val="24"/>
                <w:szCs w:val="24"/>
                <w:highlight w:val="none"/>
              </w:rPr>
            </w:pPr>
            <w:r>
              <w:rPr>
                <w:rFonts w:hint="eastAsia" w:ascii="Times New Roman" w:hAnsi="Times New Roman" w:eastAsia="宋体" w:cs="Times New Roman"/>
                <w:b/>
                <w:bCs/>
                <w:sz w:val="24"/>
                <w:szCs w:val="24"/>
                <w:highlight w:val="none"/>
                <w:lang w:val="en-US" w:eastAsia="zh-CN"/>
              </w:rPr>
              <w:t xml:space="preserve">2、投标文件中提供相关证明材料及投标人为其缴纳的近3个月的社保缴纳证明，复印件加盖</w:t>
            </w:r>
            <w:r>
              <w:rPr>
                <w:rFonts w:hint="eastAsia" w:cs="Times New Roman"/>
                <w:b/>
                <w:bCs/>
                <w:sz w:val="24"/>
                <w:szCs w:val="24"/>
                <w:highlight w:val="none"/>
                <w:lang w:val="en-US" w:eastAsia="zh-CN"/>
              </w:rPr>
              <w:t xml:space="preserve">供应商</w:t>
            </w:r>
            <w:r>
              <w:rPr>
                <w:rFonts w:hint="eastAsia" w:ascii="Times New Roman" w:hAnsi="Times New Roman" w:eastAsia="宋体" w:cs="Times New Roman"/>
                <w:b/>
                <w:bCs/>
                <w:sz w:val="24"/>
                <w:szCs w:val="24"/>
                <w:highlight w:val="none"/>
                <w:lang w:val="en-US" w:eastAsia="zh-CN"/>
              </w:rPr>
              <w:t xml:space="preserve">公章。</w:t>
            </w:r>
            <w:r/>
          </w:p>
        </w:tc>
        <w:tc>
          <w:tcPr>
            <w:tcW w:w="663" w:type="dxa"/>
            <w:vAlign w:val="center"/>
            <w:textDirection w:val="lrTb"/>
            <w:noWrap w:val="false"/>
          </w:tcPr>
          <w:p>
            <w:pPr>
              <w:ind w:left="714" w:hanging="712"/>
              <w:jc w:val="center"/>
              <w:spacing w:line="3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22</w:t>
            </w:r>
            <w:r/>
          </w:p>
        </w:tc>
      </w:tr>
    </w:tbl>
    <w:p>
      <w:pPr>
        <w:ind w:left="1080"/>
        <w:spacing w:line="360" w:lineRule="auto"/>
        <w:tabs>
          <w:tab w:val="left" w:pos="360" w:leader="none"/>
          <w:tab w:val="left" w:pos="1080" w:leader="none"/>
        </w:tabs>
        <w:rPr>
          <w:color w:val="000000"/>
          <w:sz w:val="24"/>
        </w:rPr>
      </w:pPr>
      <w:r>
        <w:rPr>
          <w:color w:val="000000"/>
          <w:sz w:val="24"/>
        </w:rPr>
      </w:r>
      <w:r/>
    </w:p>
    <w:p>
      <w:pPr>
        <w:jc w:val="left"/>
        <w:widowControl/>
        <w:rPr>
          <w:b/>
          <w:sz w:val="36"/>
          <w:szCs w:val="36"/>
        </w:rPr>
      </w:pPr>
      <w:r>
        <w:rPr>
          <w:b/>
          <w:sz w:val="36"/>
          <w:szCs w:val="36"/>
        </w:rPr>
      </w:r>
      <w:r/>
    </w:p>
    <w:p>
      <w:pPr>
        <w:jc w:val="center"/>
        <w:spacing w:line="360" w:lineRule="auto"/>
        <w:rPr>
          <w:sz w:val="24"/>
        </w:rPr>
        <w:outlineLvl w:val="0"/>
      </w:pPr>
      <w:r>
        <w:rPr>
          <w:b/>
          <w:sz w:val="36"/>
          <w:szCs w:val="36"/>
        </w:rPr>
        <w:br w:type="page" w:clear="all"/>
      </w:r>
      <w:bookmarkStart w:id="670" w:name="_Toc104818928"/>
      <w:r>
        <w:rPr>
          <w:b/>
          <w:sz w:val="36"/>
          <w:szCs w:val="36"/>
        </w:rPr>
        <w:t xml:space="preserve">第四章   采购需求</w:t>
      </w:r>
      <w:bookmarkEnd w:id="670"/>
      <w:r/>
      <w:r/>
    </w:p>
    <w:p>
      <w:pPr>
        <w:jc w:val="left"/>
        <w:spacing w:line="420" w:lineRule="exact"/>
        <w:rPr>
          <w:rFonts w:hint="eastAsia" w:ascii="宋体" w:hAnsi="宋体" w:cs="宋体"/>
          <w:b/>
          <w:bCs/>
          <w:color w:val="000000"/>
          <w:sz w:val="24"/>
          <w:szCs w:val="24"/>
        </w:rPr>
      </w:pPr>
      <w:r/>
      <w:bookmarkStart w:id="671" w:name="_Toc104818929"/>
      <w:r>
        <w:rPr>
          <w:rFonts w:hint="eastAsia" w:ascii="宋体" w:hAnsi="宋体" w:cs="宋体"/>
          <w:b/>
          <w:bCs/>
          <w:color w:val="000000"/>
          <w:sz w:val="24"/>
          <w:szCs w:val="24"/>
        </w:rPr>
        <w:t xml:space="preserve">一、工程概况：</w:t>
      </w:r>
      <w:r/>
    </w:p>
    <w:p>
      <w:pPr>
        <w:jc w:val="left"/>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1、工程名称：</w:t>
      </w:r>
      <w:r>
        <w:rPr>
          <w:rFonts w:hint="eastAsia"/>
          <w:color w:val="000000"/>
          <w:sz w:val="24"/>
          <w:szCs w:val="24"/>
          <w:highlight w:val="none"/>
          <w:lang w:eastAsia="zh-CN"/>
        </w:rPr>
        <w:t xml:space="preserve">智慧农业产业园温室大棚建设工程</w:t>
      </w:r>
      <w:r/>
    </w:p>
    <w:p>
      <w:pPr>
        <w:jc w:val="left"/>
        <w:spacing w:line="420" w:lineRule="exact"/>
        <w:rPr>
          <w:rFonts w:ascii="宋体" w:hAnsi="宋体" w:cs="宋体"/>
          <w:color w:val="000000"/>
          <w:sz w:val="24"/>
          <w:szCs w:val="24"/>
        </w:rPr>
      </w:pPr>
      <w:r>
        <w:rPr>
          <w:rFonts w:hint="eastAsia" w:ascii="宋体" w:hAnsi="宋体" w:cs="宋体"/>
          <w:color w:val="000000"/>
          <w:sz w:val="24"/>
          <w:szCs w:val="24"/>
        </w:rPr>
        <w:t xml:space="preserve">2、工程地点：</w:t>
      </w:r>
      <w:r>
        <w:rPr>
          <w:rFonts w:hint="eastAsia" w:ascii="宋体" w:hAnsi="宋体"/>
          <w:sz w:val="24"/>
          <w:szCs w:val="24"/>
        </w:rPr>
        <w:t xml:space="preserve">采购人指定地点</w:t>
      </w:r>
      <w:r/>
    </w:p>
    <w:p>
      <w:pPr>
        <w:jc w:val="left"/>
        <w:spacing w:line="420" w:lineRule="exact"/>
        <w:rPr>
          <w:rFonts w:ascii="宋体" w:hAnsi="宋体" w:cs="宋体"/>
          <w:b/>
          <w:bCs/>
          <w:color w:val="000000"/>
          <w:sz w:val="24"/>
          <w:szCs w:val="24"/>
        </w:rPr>
      </w:pPr>
      <w:r>
        <w:rPr>
          <w:rFonts w:hint="eastAsia" w:ascii="宋体" w:hAnsi="宋体" w:cs="宋体"/>
          <w:b/>
          <w:bCs/>
          <w:color w:val="000000"/>
          <w:sz w:val="24"/>
          <w:szCs w:val="24"/>
        </w:rPr>
        <w:t xml:space="preserve">二、质量要求：合格</w:t>
      </w:r>
      <w:r/>
    </w:p>
    <w:p>
      <w:pPr>
        <w:jc w:val="left"/>
        <w:spacing w:line="420" w:lineRule="exact"/>
        <w:rPr>
          <w:rFonts w:hint="default" w:ascii="宋体" w:hAnsi="宋体" w:cs="宋体"/>
          <w:b/>
          <w:bCs/>
          <w:sz w:val="24"/>
          <w:szCs w:val="24"/>
          <w:highlight w:val="none"/>
          <w:lang w:val="en-US"/>
        </w:rPr>
      </w:pPr>
      <w:r>
        <w:rPr>
          <w:rFonts w:hint="eastAsia" w:ascii="宋体" w:hAnsi="宋体" w:cs="宋体"/>
          <w:b/>
          <w:bCs/>
          <w:sz w:val="24"/>
          <w:szCs w:val="24"/>
          <w:highlight w:val="none"/>
        </w:rPr>
        <w:t xml:space="preserve">三、</w:t>
      </w:r>
      <w:r>
        <w:rPr>
          <w:sz w:val="24"/>
        </w:rPr>
        <w:t xml:space="preserve">合同履行期</w:t>
      </w:r>
      <w:r>
        <w:rPr>
          <w:sz w:val="24"/>
          <w:highlight w:val="none"/>
        </w:rPr>
        <w:t xml:space="preserve">限：</w:t>
      </w:r>
      <w:r>
        <w:rPr>
          <w:rFonts w:hint="eastAsia"/>
          <w:sz w:val="24"/>
          <w:highlight w:val="none"/>
          <w:lang w:val="en-US" w:eastAsia="zh-CN"/>
        </w:rPr>
        <w:t xml:space="preserve">90日历天</w:t>
      </w:r>
      <w:r/>
    </w:p>
    <w:p>
      <w:pPr>
        <w:jc w:val="left"/>
        <w:spacing w:line="420" w:lineRule="exact"/>
        <w:rPr>
          <w:rFonts w:hint="eastAsia" w:ascii="宋体" w:hAnsi="宋体" w:cs="宋体"/>
          <w:b/>
          <w:bCs/>
          <w:sz w:val="24"/>
          <w:szCs w:val="24"/>
        </w:rPr>
      </w:pPr>
      <w:r>
        <w:rPr>
          <w:rFonts w:hint="eastAsia" w:ascii="宋体" w:hAnsi="宋体" w:cs="宋体"/>
          <w:b/>
          <w:bCs/>
          <w:sz w:val="24"/>
          <w:szCs w:val="24"/>
        </w:rPr>
        <w:t xml:space="preserve">四、付款方式：</w:t>
      </w:r>
      <w:r/>
    </w:p>
    <w:p>
      <w:pPr>
        <w:jc w:val="left"/>
        <w:spacing w:line="4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1)合同签订并发出开工令后，支付合同价款[扣除暂列金额(含规费及税金)]的30%作</w:t>
      </w:r>
      <w:r>
        <w:rPr>
          <w:rFonts w:hint="eastAsia" w:ascii="宋体" w:hAnsi="宋体" w:eastAsia="宋体" w:cs="宋体"/>
          <w:color w:val="000000"/>
          <w:sz w:val="24"/>
          <w:szCs w:val="24"/>
          <w:highlight w:val="none"/>
        </w:rPr>
        <w:t xml:space="preserve">为预付款;</w:t>
      </w:r>
      <w:r/>
    </w:p>
    <w:p>
      <w:pPr>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2)工程量完成60%，支付合同价[扣除暂列金额(含规费及税金)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的50%;</w:t>
      </w:r>
      <w:r/>
    </w:p>
    <w:p>
      <w:pPr>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3)工程完工并通过验收合格，付至审定价的97%;</w:t>
      </w:r>
      <w:r/>
    </w:p>
    <w:p>
      <w:pPr>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4)工程余款待保修期满后无息结清。</w:t>
      </w:r>
      <w:r/>
    </w:p>
    <w:p>
      <w:pPr>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5)上述所有付款节点需按相关规定提交对应台账资料及发票</w:t>
      </w:r>
      <w:r/>
    </w:p>
    <w:p>
      <w:pPr>
        <w:jc w:val="left"/>
        <w:spacing w:line="42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五、工程量清单：详见附件</w:t>
      </w:r>
      <w:r/>
    </w:p>
    <w:p>
      <w:pPr>
        <w:jc w:val="left"/>
        <w:spacing w:line="42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六、其他事项：</w:t>
      </w:r>
      <w:r/>
    </w:p>
    <w:p>
      <w:pPr>
        <w:ind w:firstLine="480"/>
        <w:jc w:val="left"/>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材料价格：本工程主要材料价按</w:t>
      </w:r>
      <w:r>
        <w:rPr>
          <w:rFonts w:hint="eastAsia" w:ascii="宋体" w:hAnsi="宋体" w:cs="宋体"/>
          <w:color w:val="000000"/>
          <w:sz w:val="24"/>
          <w:szCs w:val="24"/>
          <w:lang w:val="en-US" w:eastAsia="zh-CN"/>
        </w:rPr>
        <w:t xml:space="preserve">最新</w:t>
      </w:r>
      <w:r>
        <w:rPr>
          <w:rFonts w:hint="eastAsia" w:ascii="宋体" w:hAnsi="宋体" w:cs="宋体"/>
          <w:color w:val="000000"/>
          <w:sz w:val="24"/>
          <w:szCs w:val="24"/>
        </w:rPr>
        <w:t xml:space="preserve">的常州信息指导价计取,信息价中没有的材料价格和暂估价材料设备价格由承包人、监理人、发包人、审计单位市场询价调研后确定，确定后的价格不下浮。无法套用定额或不适合套用定额的，依据市场独立费价格，经承包人、监理人、发包人、审计单位共同确定，确定后的价格不下浮。暂估价材料及暂估独立费详见工程量清单明细。</w:t>
      </w:r>
      <w:r/>
    </w:p>
    <w:p>
      <w:pPr>
        <w:jc w:val="center"/>
        <w:spacing w:line="360" w:lineRule="auto"/>
        <w:rPr>
          <w:b/>
          <w:sz w:val="36"/>
          <w:szCs w:val="36"/>
        </w:rPr>
        <w:outlineLvl w:val="0"/>
      </w:pPr>
      <w:r>
        <w:rPr>
          <w:b/>
          <w:sz w:val="36"/>
          <w:szCs w:val="36"/>
        </w:rPr>
      </w:r>
      <w:r/>
    </w:p>
    <w:p>
      <w:pPr>
        <w:pStyle w:val="843"/>
        <w:rPr>
          <w:b/>
          <w:sz w:val="36"/>
          <w:szCs w:val="36"/>
        </w:rPr>
      </w:pPr>
      <w:r>
        <w:rPr>
          <w:b/>
          <w:sz w:val="36"/>
          <w:szCs w:val="36"/>
        </w:rPr>
      </w:r>
      <w:r/>
    </w:p>
    <w:p>
      <w:pPr>
        <w:rPr>
          <w:b/>
          <w:sz w:val="36"/>
          <w:szCs w:val="36"/>
        </w:rPr>
      </w:pPr>
      <w:r>
        <w:rPr>
          <w:b/>
          <w:sz w:val="36"/>
          <w:szCs w:val="36"/>
        </w:rPr>
      </w:r>
      <w:r/>
    </w:p>
    <w:p>
      <w:pPr>
        <w:pStyle w:val="843"/>
      </w:pPr>
      <w:r/>
      <w:r/>
    </w:p>
    <w:p>
      <w:r/>
      <w:r/>
    </w:p>
    <w:p>
      <w:pPr>
        <w:pStyle w:val="843"/>
      </w:pPr>
      <w:r/>
      <w:r/>
    </w:p>
    <w:p>
      <w:pPr>
        <w:pStyle w:val="843"/>
      </w:pPr>
      <w:r/>
      <w:r/>
    </w:p>
    <w:p>
      <w:r/>
      <w:r/>
    </w:p>
    <w:p>
      <w:pPr>
        <w:jc w:val="center"/>
        <w:spacing w:line="360" w:lineRule="auto"/>
        <w:rPr>
          <w:b/>
          <w:sz w:val="36"/>
          <w:szCs w:val="36"/>
        </w:rPr>
        <w:outlineLvl w:val="0"/>
      </w:pPr>
      <w:r>
        <w:rPr>
          <w:b/>
          <w:sz w:val="36"/>
          <w:szCs w:val="36"/>
        </w:rPr>
        <w:t xml:space="preserve">第五章   合同草案条款</w:t>
      </w:r>
      <w:bookmarkEnd w:id="671"/>
      <w:r/>
      <w:r/>
    </w:p>
    <w:p>
      <w:pPr>
        <w:spacing w:line="360" w:lineRule="auto"/>
        <w:tabs>
          <w:tab w:val="left" w:pos="900" w:leader="none"/>
          <w:tab w:val="left" w:pos="1080" w:leader="none"/>
        </w:tabs>
        <w:rPr>
          <w:sz w:val="18"/>
          <w:szCs w:val="18"/>
        </w:rPr>
      </w:pPr>
      <w:r>
        <w:rPr>
          <w:sz w:val="18"/>
          <w:szCs w:val="18"/>
        </w:rPr>
      </w:r>
      <w:r/>
    </w:p>
    <w:p>
      <w:pPr>
        <w:jc w:val="right"/>
        <w:shd w:val="clear" w:color="auto" w:fill="ffffff"/>
        <w:rPr>
          <w:rFonts w:ascii="宋体" w:hAnsi="宋体" w:eastAsia="宋体" w:cs="宋体"/>
          <w:b/>
          <w:sz w:val="32"/>
          <w:szCs w:val="32"/>
        </w:rPr>
      </w:pPr>
      <w:r>
        <w:rPr>
          <w:rFonts w:hint="eastAsia" w:ascii="宋体" w:hAnsi="宋体" w:eastAsia="宋体" w:cs="宋体"/>
          <w:sz w:val="32"/>
          <w:szCs w:val="32"/>
        </w:rPr>
        <w:t xml:space="preserve">（GF-2013-0201）</w:t>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pStyle w:val="842"/>
        <w:ind w:firstLine="0"/>
        <w:rPr>
          <w:rFonts w:ascii="宋体" w:hAnsi="宋体" w:eastAsia="宋体" w:cs="宋体"/>
          <w:bCs w:val="0"/>
          <w:sz w:val="32"/>
          <w:szCs w:val="32"/>
        </w:rPr>
      </w:pPr>
      <w:r>
        <w:rPr>
          <w:rFonts w:ascii="宋体" w:hAnsi="宋体" w:eastAsia="宋体" w:cs="宋体"/>
          <w:bCs w:val="0"/>
          <w:sz w:val="32"/>
          <w:szCs w:val="32"/>
        </w:rPr>
      </w:r>
      <w:r/>
    </w:p>
    <w:p>
      <w:pPr>
        <w:pStyle w:val="842"/>
        <w:ind w:firstLine="0"/>
        <w:jc w:val="center"/>
        <w:rPr>
          <w:rFonts w:ascii="宋体" w:hAnsi="宋体" w:eastAsia="宋体"/>
          <w:sz w:val="52"/>
          <w:szCs w:val="52"/>
        </w:rPr>
      </w:pPr>
      <w:r>
        <w:rPr>
          <w:rFonts w:hint="eastAsia" w:ascii="宋体" w:hAnsi="宋体" w:eastAsia="宋体"/>
          <w:sz w:val="52"/>
          <w:szCs w:val="52"/>
        </w:rPr>
        <w:t xml:space="preserve">建设工程施工合同</w:t>
      </w:r>
      <w:r/>
    </w:p>
    <w:p>
      <w:pPr>
        <w:jc w:val="center"/>
        <w:shd w:val="clear" w:color="auto" w:fill="ffff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b/>
          <w:sz w:val="24"/>
          <w:szCs w:val="24"/>
          <w:lang w:eastAsia="zh-CN"/>
        </w:rPr>
        <w:t xml:space="preserve">）</w:t>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国家工商行政管理局</w:t>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                           制定</w:t>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中华人民共和国建设部</w:t>
      </w:r>
      <w:r/>
    </w:p>
    <w:p>
      <w:pPr>
        <w:spacing w:line="240" w:lineRule="auto"/>
        <w:rPr>
          <w:rFonts w:ascii="宋体" w:hAnsi="宋体" w:eastAsia="宋体"/>
          <w:sz w:val="32"/>
          <w:szCs w:val="32"/>
        </w:rPr>
      </w:pPr>
      <w:r>
        <w:rPr>
          <w:rFonts w:ascii="宋体" w:hAnsi="宋体" w:eastAsia="宋体"/>
          <w:sz w:val="32"/>
          <w:szCs w:val="32"/>
        </w:rPr>
        <w:br w:type="page" w:clear="all"/>
      </w:r>
      <w:r/>
    </w:p>
    <w:p>
      <w:pPr>
        <w:jc w:val="center"/>
        <w:rPr>
          <w:rFonts w:ascii="宋体" w:hAnsi="宋体" w:eastAsia="宋体"/>
          <w:b/>
          <w:color w:val="auto"/>
          <w:sz w:val="24"/>
          <w:szCs w:val="24"/>
        </w:rPr>
      </w:pPr>
      <w:r>
        <w:rPr>
          <w:rFonts w:hint="eastAsia" w:ascii="宋体" w:hAnsi="宋体" w:eastAsia="宋体"/>
          <w:b/>
          <w:color w:val="auto"/>
          <w:sz w:val="24"/>
          <w:szCs w:val="24"/>
        </w:rPr>
        <w:t xml:space="preserve">第一部分 合同协议书</w:t>
      </w:r>
      <w:r/>
    </w:p>
    <w:p>
      <w:pPr>
        <w:ind w:firstLine="422"/>
        <w:pageBreakBefore w:val="0"/>
        <w:spacing w:line="360" w:lineRule="auto"/>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发包人（全称）：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p>
    <w:p>
      <w:pPr>
        <w:ind w:firstLine="422"/>
        <w:pageBreakBefore w:val="0"/>
        <w:spacing w:line="360" w:lineRule="auto"/>
        <w:rPr>
          <w:rFonts w:hint="eastAsia" w:ascii="宋体" w:hAnsi="宋体" w:eastAsia="宋体" w:cs="宋体"/>
          <w:color w:val="auto"/>
          <w:sz w:val="24"/>
          <w:szCs w:val="24"/>
        </w:rPr>
        <w:outlineLvl w:val="2"/>
      </w:pPr>
      <w:r>
        <w:rPr>
          <w:rFonts w:hint="eastAsia" w:ascii="宋体" w:hAnsi="宋体" w:eastAsia="宋体" w:cs="宋体"/>
          <w:b/>
          <w:bCs/>
          <w:color w:val="auto"/>
          <w:sz w:val="24"/>
          <w:szCs w:val="24"/>
        </w:rPr>
        <w:t xml:space="preserve">承包人（全称）：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w:t>
      </w:r>
      <w:r>
        <w:rPr>
          <w:rFonts w:hint="eastAsia" w:ascii="宋体" w:hAnsi="宋体" w:eastAsia="宋体" w:cs="宋体"/>
          <w:color w:val="auto"/>
          <w:sz w:val="24"/>
          <w:szCs w:val="24"/>
          <w:lang w:val="en-US" w:eastAsia="zh-CN"/>
        </w:rPr>
        <w:t xml:space="preserve">民法典</w:t>
      </w:r>
      <w:r>
        <w:rPr>
          <w:rFonts w:hint="eastAsia" w:ascii="宋体" w:hAnsi="宋体" w:eastAsia="宋体" w:cs="宋体"/>
          <w:color w:val="auto"/>
          <w:sz w:val="24"/>
          <w:szCs w:val="24"/>
        </w:rPr>
        <w:t xml:space="preserve">》、《中华人民共和国建筑法》及有关法律规定，遵循平等、自愿、公平和诚实信用的原则，双方就</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施工及有关事项协商一致，共同达成如下协议：</w:t>
      </w:r>
      <w:r/>
    </w:p>
    <w:p>
      <w:pPr>
        <w:ind w:firstLine="420"/>
        <w:pageBreakBefore w:val="0"/>
        <w:spacing w:line="360" w:lineRule="auto"/>
        <w:rPr>
          <w:rFonts w:hint="eastAsia" w:ascii="宋体" w:hAnsi="宋体" w:eastAsia="宋体" w:cs="宋体"/>
          <w:vanish/>
          <w:color w:val="auto"/>
          <w:sz w:val="24"/>
          <w:szCs w:val="24"/>
        </w:rPr>
      </w:pPr>
      <w:r>
        <w:rPr>
          <w:rFonts w:hint="eastAsia" w:ascii="宋体" w:hAnsi="宋体" w:eastAsia="宋体" w:cs="宋体"/>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一、工程概况</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1.工程名称：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2.工程地点：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.资金来源：</w:t>
      </w:r>
      <w:r>
        <w:rPr>
          <w:rFonts w:hint="eastAsia" w:ascii="宋体" w:hAnsi="宋体" w:eastAsia="宋体" w:cs="宋体"/>
          <w:color w:val="auto"/>
          <w:sz w:val="24"/>
          <w:szCs w:val="24"/>
          <w:u w:val="single"/>
        </w:rPr>
        <w:t xml:space="preserve">  自筹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.工程内容：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图纸</w:t>
      </w:r>
      <w:r>
        <w:rPr>
          <w:rFonts w:hint="eastAsia" w:ascii="宋体" w:hAnsi="宋体" w:eastAsia="宋体" w:cs="宋体"/>
          <w:color w:val="auto"/>
          <w:sz w:val="24"/>
          <w:szCs w:val="24"/>
          <w:u w:val="single"/>
        </w:rPr>
        <w:t xml:space="preserve">及工程量清单范围内的工程内容</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.工程承包范围：</w:t>
      </w:r>
      <w:r>
        <w:rPr>
          <w:rFonts w:hint="eastAsia" w:ascii="宋体" w:hAnsi="宋体" w:eastAsia="宋体" w:cs="宋体"/>
          <w:color w:val="auto"/>
          <w:sz w:val="24"/>
          <w:szCs w:val="24"/>
          <w:u w:val="single"/>
        </w:rPr>
        <w:t xml:space="preserve">详见工程量清单。</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二、合同工期</w:t>
      </w:r>
      <w:r/>
    </w:p>
    <w:p>
      <w:pPr>
        <w:ind w:right="54" w:firstLine="420"/>
        <w:pageBreakBefore w:val="0"/>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计划开工日期：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日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计划竣工日期：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日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工期总日历天数：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具体开工时间以监理工程师发出的开工令为准)工期总日历天数与根据前述计划开竣工日期计算的工期天数不一致的，以工期总日历天数为准。</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三、质量标准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工程质量符合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合格</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标准。</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四、签约合同价与合同价格形式</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1.签约合同价为：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 </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2.合同价格形式：</w:t>
      </w:r>
      <w:r>
        <w:rPr>
          <w:rFonts w:hint="eastAsia" w:ascii="宋体" w:hAnsi="宋体" w:eastAsia="宋体" w:cs="宋体"/>
          <w:color w:val="auto"/>
          <w:sz w:val="24"/>
          <w:szCs w:val="24"/>
          <w:u w:val="single"/>
        </w:rPr>
        <w:t xml:space="preserve">  本合同采用固定单价合同形式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五、项目经理</w:t>
      </w:r>
      <w:r/>
    </w:p>
    <w:p>
      <w:pPr>
        <w:ind w:right="54" w:firstLine="420"/>
        <w:pageBreakBefore w:val="0"/>
        <w:spacing w:line="360" w:lineRule="auto"/>
        <w:rPr>
          <w:rFonts w:hint="eastAsia" w:ascii="宋体" w:hAnsi="宋体" w:eastAsia="宋体" w:cs="宋体"/>
          <w:b/>
          <w:bCs/>
          <w:color w:val="auto"/>
          <w:sz w:val="24"/>
          <w:szCs w:val="24"/>
          <w:lang w:val="en-US" w:eastAsia="zh-CN"/>
        </w:rPr>
        <w:outlineLvl w:val="3"/>
      </w:pPr>
      <w:r>
        <w:rPr>
          <w:rFonts w:hint="eastAsia" w:ascii="宋体" w:hAnsi="宋体" w:eastAsia="宋体" w:cs="宋体"/>
          <w:color w:val="auto"/>
          <w:sz w:val="24"/>
          <w:szCs w:val="24"/>
        </w:rPr>
        <w:t xml:space="preserve">承包人项目经理</w:t>
      </w:r>
      <w:r>
        <w:rPr>
          <w:rFonts w:hint="eastAsia" w:ascii="宋体" w:hAnsi="宋体" w:eastAsia="宋体" w:cs="宋体"/>
          <w:color w:val="auto"/>
          <w:sz w:val="24"/>
          <w:szCs w:val="24"/>
          <w:u w:val="single"/>
          <w:lang w:val="en-US" w:eastAsia="zh-CN"/>
        </w:rPr>
        <w:t xml:space="preserve">       </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六、合同文件构成</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本协议书与下列文件一起构成合同文件：</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（1）本协议书</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（2）中标通知书；</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（3）投标函及投标函附录；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（4）专用合同条款；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（5）通用合同条款；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（6）技术标准和要求；</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（7）图纸；</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（8）已标价工程量清单；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（9）其他合同文件。</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在合同订立及履行过程中形成的与合同有关的文件均构成合同文件组成部分。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七、承诺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1.发包人承诺按照法律规定履行项目审批手续、筹集工程建设资金并按照合同约定的期限和方式支付合同价款。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3.发包人和承包人通过招投标形式签订合同的，双方理解并承诺不再就同一工程另行签订与合同实质性内容相背离的协议。</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lang w:eastAsia="zh-CN"/>
        </w:rPr>
        <w:t xml:space="preserve">八</w:t>
      </w:r>
      <w:r>
        <w:rPr>
          <w:rFonts w:hint="eastAsia" w:ascii="宋体" w:hAnsi="宋体" w:eastAsia="宋体" w:cs="宋体"/>
          <w:b/>
          <w:bCs/>
          <w:color w:val="auto"/>
          <w:sz w:val="24"/>
          <w:szCs w:val="24"/>
        </w:rPr>
        <w:t xml:space="preserve">、签订时间</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日签订。</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lang w:eastAsia="zh-CN"/>
        </w:rPr>
        <w:t xml:space="preserve">九</w:t>
      </w:r>
      <w:r>
        <w:rPr>
          <w:rFonts w:hint="eastAsia" w:ascii="宋体" w:hAnsi="宋体" w:eastAsia="宋体" w:cs="宋体"/>
          <w:b/>
          <w:bCs/>
          <w:color w:val="auto"/>
          <w:sz w:val="24"/>
          <w:szCs w:val="24"/>
        </w:rPr>
        <w:t xml:space="preserve">、签订地点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本合同在</w:t>
      </w:r>
      <w:r>
        <w:rPr>
          <w:rFonts w:hint="eastAsia" w:ascii="宋体" w:hAnsi="宋体" w:eastAsia="宋体" w:cs="宋体"/>
          <w:color w:val="auto"/>
          <w:sz w:val="24"/>
          <w:szCs w:val="24"/>
          <w:u w:val="single"/>
        </w:rPr>
        <w:t xml:space="preserve">   溧阳</w:t>
      </w:r>
      <w:r>
        <w:rPr>
          <w:rFonts w:hint="eastAsia" w:ascii="宋体" w:hAnsi="宋体" w:cs="宋体"/>
          <w:color w:val="auto"/>
          <w:sz w:val="24"/>
          <w:szCs w:val="24"/>
          <w:u w:val="single"/>
          <w:lang w:val="en-US" w:eastAsia="zh-CN"/>
        </w:rPr>
        <w:t xml:space="preserve">市</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签订。</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十、补充协议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合同未尽事宜，合同当事人另行签订补充协议，补充协议是合同的组成部分。</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w:t>
      </w:r>
      <w:r>
        <w:rPr>
          <w:rFonts w:hint="eastAsia" w:ascii="宋体" w:hAnsi="宋体" w:eastAsia="宋体" w:cs="宋体"/>
          <w:b/>
          <w:bCs/>
          <w:color w:val="auto"/>
          <w:sz w:val="24"/>
          <w:szCs w:val="24"/>
          <w:lang w:eastAsia="zh-CN"/>
        </w:rPr>
        <w:t xml:space="preserve">一</w:t>
      </w:r>
      <w:r>
        <w:rPr>
          <w:rFonts w:hint="eastAsia" w:ascii="宋体" w:hAnsi="宋体" w:eastAsia="宋体" w:cs="宋体"/>
          <w:b/>
          <w:bCs/>
          <w:color w:val="auto"/>
          <w:sz w:val="24"/>
          <w:szCs w:val="24"/>
        </w:rPr>
        <w:t xml:space="preserve">、合同生效</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本合同自</w:t>
      </w:r>
      <w:r>
        <w:rPr>
          <w:rFonts w:hint="eastAsia" w:ascii="宋体" w:hAnsi="宋体" w:eastAsia="宋体" w:cs="宋体"/>
          <w:color w:val="auto"/>
          <w:sz w:val="24"/>
          <w:szCs w:val="24"/>
          <w:u w:val="single"/>
        </w:rPr>
        <w:t xml:space="preserve">  双方签字盖章后生效  </w:t>
      </w:r>
      <w:r>
        <w:rPr>
          <w:rFonts w:hint="eastAsia" w:ascii="宋体" w:hAnsi="宋体" w:eastAsia="宋体" w:cs="宋体"/>
          <w:color w:val="auto"/>
          <w:sz w:val="24"/>
          <w:szCs w:val="24"/>
        </w:rPr>
        <w:t xml:space="preserve">生效。</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w:t>
      </w:r>
      <w:r>
        <w:rPr>
          <w:rFonts w:hint="eastAsia" w:ascii="宋体" w:hAnsi="宋体" w:eastAsia="宋体" w:cs="宋体"/>
          <w:b/>
          <w:bCs/>
          <w:color w:val="auto"/>
          <w:sz w:val="24"/>
          <w:szCs w:val="24"/>
          <w:lang w:eastAsia="zh-CN"/>
        </w:rPr>
        <w:t xml:space="preserve">二</w:t>
      </w:r>
      <w:r>
        <w:rPr>
          <w:rFonts w:hint="eastAsia" w:ascii="宋体" w:hAnsi="宋体" w:eastAsia="宋体" w:cs="宋体"/>
          <w:b/>
          <w:bCs/>
          <w:color w:val="auto"/>
          <w:sz w:val="24"/>
          <w:szCs w:val="24"/>
        </w:rPr>
        <w:t xml:space="preserve">、合同份数</w:t>
      </w:r>
      <w:r/>
    </w:p>
    <w:p>
      <w:pPr>
        <w:ind w:firstLine="420"/>
        <w:pageBreakBefore w:val="0"/>
        <w:spacing w:after="24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份，均具有同等法律效力，发包人执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份，承包人执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w:t>
      </w:r>
      <w:r/>
    </w:p>
    <w:p>
      <w:pPr>
        <w:ind w:firstLine="420"/>
        <w:pageBreakBefore w:val="0"/>
        <w:spacing w:after="24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bl>
      <w:tblPr>
        <w:tblStyle w:val="852"/>
        <w:tblW w:w="93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5"/>
      </w:tblGrid>
      <w:tr>
        <w:trPr>
          <w:trHeight w:val="558"/>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发包人：（盖章）</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承包人（盖章）：</w:t>
            </w:r>
            <w:r/>
          </w:p>
        </w:tc>
      </w:tr>
      <w:tr>
        <w:trPr>
          <w:trHeight w:val="610"/>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法人或委托代理人：（签字）</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法人或委托代理人：（签字）</w:t>
            </w:r>
            <w:r/>
          </w:p>
        </w:tc>
      </w:tr>
      <w:tr>
        <w:trPr>
          <w:trHeight w:val="493"/>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地 址：</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地 址： </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开户银行： </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开户银行： </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银行账号：</w:t>
            </w:r>
            <w:r/>
          </w:p>
        </w:tc>
        <w:tc>
          <w:tcPr>
            <w:tcW w:w="4675" w:type="dxa"/>
            <w:vAlign w:val="center"/>
            <w:textDirection w:val="lrTb"/>
            <w:noWrap w:val="false"/>
          </w:tcPr>
          <w:p>
            <w:pPr>
              <w:ind w:left="0" w:right="0"/>
              <w:keepLines w:val="0"/>
              <w:keepNext w:val="0"/>
              <w:pageBreakBefore w:val="0"/>
              <w:spacing w:before="10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银行帐号：</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纳税人识别号：</w:t>
            </w:r>
            <w:r/>
          </w:p>
        </w:tc>
        <w:tc>
          <w:tcPr>
            <w:tcW w:w="4675" w:type="dxa"/>
            <w:vAlign w:val="center"/>
            <w:textDirection w:val="lrTb"/>
            <w:noWrap w:val="false"/>
          </w:tcPr>
          <w:p>
            <w:pPr>
              <w:ind w:left="0" w:right="0"/>
              <w:keepLines w:val="0"/>
              <w:keepNext w:val="0"/>
              <w:pageBreakBefore w:val="0"/>
              <w:spacing w:before="10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纳税人识别号：</w:t>
            </w:r>
            <w:r/>
          </w:p>
        </w:tc>
      </w:tr>
    </w:tbl>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第二部分 通用合同条款</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略</w:t>
      </w:r>
      <w:r>
        <w:rPr>
          <w:rFonts w:hint="eastAsia" w:ascii="宋体" w:hAnsi="宋体" w:eastAsia="宋体" w:cs="宋体"/>
          <w:b/>
          <w:sz w:val="24"/>
          <w:szCs w:val="24"/>
          <w:lang w:eastAsia="zh-CN"/>
        </w:rPr>
        <w:t xml:space="preserve">）</w:t>
      </w:r>
      <w:r/>
    </w:p>
    <w:p>
      <w:pPr>
        <w:ind w:firstLine="420"/>
        <w:pageBreakBefore w:val="0"/>
        <w:spacing w:line="360" w:lineRule="auto"/>
        <w:tabs>
          <w:tab w:val="left" w:pos="0" w:leader="none"/>
          <w:tab w:val="left" w:pos="993"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本工程的通用条款执行GF-2013-0201《建设工程施工合同（示范文本）》中的“第二部分：通用条款”。</w:t>
      </w:r>
      <w:r/>
    </w:p>
    <w:p>
      <w:pPr>
        <w:ind w:firstLine="108"/>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第三部分 专用合同条款</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 一般约定</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 词语定义</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1.1.10 </w:t>
      </w:r>
      <w:r>
        <w:rPr>
          <w:rFonts w:hint="eastAsia" w:ascii="宋体" w:hAnsi="宋体" w:eastAsia="宋体" w:cs="宋体"/>
          <w:sz w:val="24"/>
          <w:szCs w:val="24"/>
        </w:rPr>
        <w:t xml:space="preserve">合同</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1.1.1.10 </w:t>
      </w:r>
      <w:r>
        <w:rPr>
          <w:rFonts w:hint="eastAsia" w:ascii="宋体" w:hAnsi="宋体" w:eastAsia="宋体" w:cs="宋体"/>
          <w:sz w:val="24"/>
          <w:szCs w:val="24"/>
        </w:rPr>
        <w:t xml:space="preserve">其他合同文件包括：</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u w:val="single"/>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1.1.2 </w:t>
      </w:r>
      <w:r>
        <w:rPr>
          <w:rFonts w:hint="eastAsia" w:ascii="宋体" w:hAnsi="宋体" w:eastAsia="宋体" w:cs="宋体"/>
          <w:sz w:val="24"/>
          <w:szCs w:val="24"/>
        </w:rPr>
        <w:t xml:space="preserve">合同当事人及其他相关方</w:t>
      </w:r>
      <w:r/>
    </w:p>
    <w:p>
      <w:pPr>
        <w:ind w:firstLine="42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1.1.2.4 </w:t>
      </w:r>
      <w:r>
        <w:rPr>
          <w:rFonts w:hint="eastAsia" w:ascii="宋体" w:hAnsi="宋体" w:eastAsia="宋体" w:cs="宋体"/>
          <w:color w:val="auto"/>
          <w:sz w:val="24"/>
          <w:szCs w:val="24"/>
          <w:highlight w:val="none"/>
        </w:rPr>
        <w:t xml:space="preserve">监理人：</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1.1.2.5 </w:t>
      </w:r>
      <w:r>
        <w:rPr>
          <w:rFonts w:hint="eastAsia" w:ascii="宋体" w:hAnsi="宋体" w:eastAsia="宋体" w:cs="宋体"/>
          <w:color w:val="auto"/>
          <w:sz w:val="24"/>
          <w:szCs w:val="24"/>
          <w:highlight w:val="none"/>
        </w:rPr>
        <w:t xml:space="preserve">设计人：</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1.1.3 </w:t>
      </w:r>
      <w:r>
        <w:rPr>
          <w:rFonts w:hint="eastAsia" w:ascii="宋体" w:hAnsi="宋体" w:eastAsia="宋体" w:cs="宋体"/>
          <w:sz w:val="24"/>
          <w:szCs w:val="24"/>
        </w:rPr>
        <w:t xml:space="preserve">工程和设备</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1.1.3.7 </w:t>
      </w:r>
      <w:r>
        <w:rPr>
          <w:rFonts w:hint="eastAsia" w:ascii="宋体" w:hAnsi="宋体" w:eastAsia="宋体" w:cs="宋体"/>
          <w:sz w:val="24"/>
          <w:szCs w:val="24"/>
        </w:rPr>
        <w:t xml:space="preserve">作为施工现场组成部分的其他场所包括：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1.1.3.9 </w:t>
      </w:r>
      <w:r>
        <w:rPr>
          <w:rFonts w:hint="eastAsia" w:ascii="宋体" w:hAnsi="宋体" w:eastAsia="宋体" w:cs="宋体"/>
          <w:sz w:val="24"/>
          <w:szCs w:val="24"/>
        </w:rPr>
        <w:t xml:space="preserve">永久占地包括：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1.1.3.10 </w:t>
      </w:r>
      <w:r>
        <w:rPr>
          <w:rFonts w:hint="eastAsia" w:ascii="宋体" w:hAnsi="宋体" w:eastAsia="宋体" w:cs="宋体"/>
          <w:sz w:val="24"/>
          <w:szCs w:val="24"/>
        </w:rPr>
        <w:t xml:space="preserve">临时占地包括：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 法律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适用于合同的其他规范性文件：</w:t>
      </w:r>
      <w:r>
        <w:rPr>
          <w:rFonts w:hint="eastAsia" w:ascii="宋体" w:hAnsi="宋体" w:eastAsia="宋体" w:cs="宋体"/>
          <w:sz w:val="24"/>
          <w:szCs w:val="24"/>
          <w:u w:val="single"/>
        </w:rPr>
        <w:t xml:space="preserve"> 现行 国家、省、市 有关文件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 标准和规范</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1.4.1 </w:t>
      </w:r>
      <w:r>
        <w:rPr>
          <w:rFonts w:hint="eastAsia" w:ascii="宋体" w:hAnsi="宋体" w:eastAsia="宋体" w:cs="宋体"/>
          <w:sz w:val="24"/>
          <w:szCs w:val="24"/>
        </w:rPr>
        <w:t xml:space="preserve">适用于工程的标准规范包括：</w:t>
      </w:r>
      <w:r>
        <w:rPr>
          <w:rFonts w:hint="eastAsia" w:ascii="宋体" w:hAnsi="宋体" w:eastAsia="宋体" w:cs="宋体"/>
          <w:sz w:val="24"/>
          <w:szCs w:val="24"/>
          <w:u w:val="single"/>
        </w:rPr>
        <w:t xml:space="preserve"> 国家、省、市及行业现行规定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1.4.2 </w:t>
      </w: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发包人提供国外标准、规范的份数：</w:t>
      </w:r>
      <w:r>
        <w:rPr>
          <w:rFonts w:hint="eastAsia" w:ascii="宋体" w:hAnsi="宋体" w:eastAsia="宋体" w:cs="宋体"/>
          <w:sz w:val="24"/>
          <w:szCs w:val="24"/>
          <w:u w:val="single"/>
        </w:rPr>
        <w:t xml:space="preserve">   /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1.4.3 </w:t>
      </w:r>
      <w:r>
        <w:rPr>
          <w:rFonts w:hint="eastAsia" w:ascii="宋体" w:hAnsi="宋体" w:eastAsia="宋体" w:cs="宋体"/>
          <w:sz w:val="24"/>
          <w:szCs w:val="24"/>
        </w:rPr>
        <w:t xml:space="preserve"> 发包人对工程的技术标准和功能要求的特殊要求：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1.5合同文件的优先顺序 </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合同文件组成及优先顺序为： </w:t>
      </w:r>
      <w:r>
        <w:rPr>
          <w:rFonts w:hint="eastAsia" w:ascii="宋体" w:hAnsi="宋体" w:eastAsia="宋体" w:cs="宋体"/>
          <w:sz w:val="24"/>
          <w:szCs w:val="24"/>
          <w:u w:val="single"/>
        </w:rPr>
        <w:t xml:space="preserve"> （1）合同协议书；  （2）中标通知书；（3）投标函及其附录；（4）专用合同条款；（5）通用合同条款；（6）技术标准和要求；（7）图纸；（8）已标价工程量清单；（9）其他合同文件。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1.6图纸和承包人文件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1.6.1 </w:t>
      </w:r>
      <w:r>
        <w:rPr>
          <w:rFonts w:hint="eastAsia" w:ascii="宋体" w:hAnsi="宋体" w:eastAsia="宋体" w:cs="宋体"/>
          <w:sz w:val="24"/>
          <w:szCs w:val="24"/>
        </w:rPr>
        <w:t xml:space="preserve"> 图纸的提供</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发包人向承包人提供图纸的期限：</w:t>
      </w:r>
      <w:r>
        <w:rPr>
          <w:rFonts w:hint="eastAsia" w:ascii="宋体" w:hAnsi="宋体" w:eastAsia="宋体" w:cs="宋体"/>
          <w:sz w:val="24"/>
          <w:szCs w:val="24"/>
          <w:u w:val="single"/>
        </w:rPr>
        <w:t xml:space="preserve">  合同签订后一周内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发包人向承包人提供图纸的数量：</w:t>
      </w:r>
      <w:r>
        <w:rPr>
          <w:rFonts w:hint="eastAsia" w:ascii="宋体" w:hAnsi="宋体" w:eastAsia="宋体" w:cs="宋体"/>
          <w:sz w:val="24"/>
          <w:szCs w:val="24"/>
          <w:u w:val="single"/>
        </w:rPr>
        <w:t xml:space="preserve">           两套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1.6.4 </w:t>
      </w:r>
      <w:r>
        <w:rPr>
          <w:rFonts w:hint="eastAsia" w:ascii="宋体" w:hAnsi="宋体" w:eastAsia="宋体" w:cs="宋体"/>
          <w:sz w:val="24"/>
          <w:szCs w:val="24"/>
        </w:rPr>
        <w:t xml:space="preserve">承包人文件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需要由承包人提供的文件，包括：</w:t>
      </w:r>
      <w:r>
        <w:rPr>
          <w:rFonts w:hint="eastAsia" w:ascii="宋体" w:hAnsi="宋体" w:eastAsia="宋体" w:cs="宋体"/>
          <w:sz w:val="24"/>
          <w:szCs w:val="24"/>
          <w:u w:val="single"/>
        </w:rPr>
        <w:t xml:space="preserve">一切与施工及竣工验收相关的资料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承包人提供的文件的期限为：</w:t>
      </w:r>
      <w:r>
        <w:rPr>
          <w:rFonts w:hint="eastAsia" w:ascii="宋体" w:hAnsi="宋体" w:eastAsia="宋体" w:cs="宋体"/>
          <w:sz w:val="24"/>
          <w:szCs w:val="24"/>
          <w:u w:val="single"/>
        </w:rPr>
        <w:t xml:space="preserve">   根据施工时间节点提供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承包人提供的文件的数量为：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pStyle w:val="1279"/>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承包人提供的文件的形式为：  </w:t>
      </w:r>
      <w:r>
        <w:rPr>
          <w:rFonts w:hint="eastAsia" w:ascii="宋体" w:hAnsi="宋体" w:eastAsia="宋体" w:cs="宋体"/>
          <w:sz w:val="24"/>
          <w:szCs w:val="24"/>
          <w:u w:val="single"/>
        </w:rPr>
        <w:t xml:space="preserve">按相关文件规定执行 。</w:t>
      </w: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发包人审批承包人文件的期限：</w:t>
      </w:r>
      <w:r>
        <w:rPr>
          <w:rFonts w:hint="eastAsia" w:ascii="宋体" w:hAnsi="宋体" w:eastAsia="宋体" w:cs="宋体"/>
          <w:sz w:val="24"/>
          <w:szCs w:val="24"/>
          <w:u w:val="single"/>
        </w:rPr>
        <w:t xml:space="preserve"> 按监理合同及通用条款规定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1.6.5 </w:t>
      </w:r>
      <w:r>
        <w:rPr>
          <w:rFonts w:hint="eastAsia" w:ascii="宋体" w:hAnsi="宋体" w:eastAsia="宋体" w:cs="宋体"/>
          <w:sz w:val="24"/>
          <w:szCs w:val="24"/>
        </w:rPr>
        <w:t xml:space="preserve">现场图纸准备</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关于现场图纸准备的约定：</w:t>
      </w:r>
      <w:r>
        <w:rPr>
          <w:rFonts w:hint="eastAsia" w:ascii="宋体" w:hAnsi="宋体" w:eastAsia="宋体" w:cs="宋体"/>
          <w:sz w:val="24"/>
          <w:szCs w:val="24"/>
          <w:u w:val="single"/>
        </w:rPr>
        <w:t xml:space="preserve">除严格用于合同目的者外，由发包人和监理工程师提供的图纸、规范和其他文件未经发包人许可，承包人不得用于或泄露给第三方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 联络</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1.7.1 </w:t>
      </w:r>
      <w:r>
        <w:rPr>
          <w:rFonts w:hint="eastAsia" w:ascii="宋体" w:hAnsi="宋体" w:eastAsia="宋体" w:cs="宋体"/>
          <w:sz w:val="24"/>
          <w:szCs w:val="24"/>
        </w:rPr>
        <w:t xml:space="preserve">发包人和承包人应当在</w:t>
      </w:r>
      <w:r>
        <w:rPr>
          <w:rFonts w:hint="eastAsia" w:ascii="宋体" w:hAnsi="宋体" w:eastAsia="宋体" w:cs="宋体"/>
          <w:sz w:val="24"/>
          <w:szCs w:val="24"/>
          <w:u w:val="single"/>
        </w:rPr>
        <w:t xml:space="preserve">   3天   </w:t>
      </w:r>
      <w:r>
        <w:rPr>
          <w:rFonts w:hint="eastAsia" w:ascii="宋体" w:hAnsi="宋体" w:eastAsia="宋体" w:cs="宋体"/>
          <w:sz w:val="24"/>
          <w:szCs w:val="24"/>
        </w:rPr>
        <w:t xml:space="preserve">内将与合同有关的通知、批准、证明、证书、指示、指令、要求、请求、同意、意见、确定和决定等书面函件送达对方当事人。</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1.7.2 </w:t>
      </w:r>
      <w:r>
        <w:rPr>
          <w:rFonts w:hint="eastAsia" w:ascii="宋体" w:hAnsi="宋体" w:eastAsia="宋体" w:cs="宋体"/>
          <w:sz w:val="24"/>
          <w:szCs w:val="24"/>
        </w:rPr>
        <w:t xml:space="preserve">发包人接收文件的地点：</w:t>
      </w:r>
      <w:r>
        <w:rPr>
          <w:rFonts w:hint="eastAsia" w:ascii="宋体" w:hAnsi="宋体" w:eastAsia="宋体" w:cs="宋体"/>
          <w:sz w:val="24"/>
          <w:szCs w:val="24"/>
          <w:u w:val="single"/>
        </w:rPr>
        <w:t xml:space="preserve">  发包人现场办公室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发包人指定的接收人为：</w:t>
      </w:r>
      <w:r>
        <w:rPr>
          <w:rFonts w:hint="eastAsia" w:ascii="宋体" w:hAnsi="宋体" w:eastAsia="宋体" w:cs="宋体"/>
          <w:sz w:val="24"/>
          <w:szCs w:val="24"/>
          <w:u w:val="single"/>
        </w:rPr>
        <w:t xml:space="preserve">  发包人代表或其授权代表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承包人接收文件的地点：</w:t>
      </w:r>
      <w:r>
        <w:rPr>
          <w:rFonts w:hint="eastAsia" w:ascii="宋体" w:hAnsi="宋体" w:eastAsia="宋体" w:cs="宋体"/>
          <w:sz w:val="24"/>
          <w:szCs w:val="24"/>
          <w:u w:val="single"/>
        </w:rPr>
        <w:t xml:space="preserve">    承包人现场办公室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承包人指定的接收人为：</w:t>
      </w:r>
      <w:r>
        <w:rPr>
          <w:rFonts w:hint="eastAsia" w:ascii="宋体" w:hAnsi="宋体" w:eastAsia="宋体" w:cs="宋体"/>
          <w:sz w:val="24"/>
          <w:szCs w:val="24"/>
          <w:u w:val="single"/>
        </w:rPr>
        <w:t xml:space="preserve">  承包人代表或其授权代表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监理人接收文件的地点：</w:t>
      </w:r>
      <w:r>
        <w:rPr>
          <w:rFonts w:hint="eastAsia" w:ascii="宋体" w:hAnsi="宋体" w:eastAsia="宋体" w:cs="宋体"/>
          <w:sz w:val="24"/>
          <w:szCs w:val="24"/>
          <w:u w:val="single"/>
        </w:rPr>
        <w:t xml:space="preserve"> 监理人现场办公室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监理人指定的接收人为：</w:t>
      </w:r>
      <w:r>
        <w:rPr>
          <w:rFonts w:hint="eastAsia" w:ascii="宋体" w:hAnsi="宋体" w:eastAsia="宋体" w:cs="宋体"/>
          <w:sz w:val="24"/>
          <w:szCs w:val="24"/>
          <w:u w:val="single"/>
        </w:rPr>
        <w:t xml:space="preserve"> 总监理工程师或其授权代表  </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 交通运输</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1.10.1 </w:t>
      </w:r>
      <w:r>
        <w:rPr>
          <w:rFonts w:hint="eastAsia" w:ascii="宋体" w:hAnsi="宋体" w:eastAsia="宋体" w:cs="宋体"/>
          <w:sz w:val="24"/>
          <w:szCs w:val="24"/>
        </w:rPr>
        <w:t xml:space="preserve">出入现场的权利</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关于出入现场的权利的约定：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1.10.3 </w:t>
      </w:r>
      <w:r>
        <w:rPr>
          <w:rFonts w:hint="eastAsia" w:ascii="宋体" w:hAnsi="宋体" w:eastAsia="宋体" w:cs="宋体"/>
          <w:sz w:val="24"/>
          <w:szCs w:val="24"/>
        </w:rPr>
        <w:t xml:space="preserve">场内交通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r>
        <w:rPr>
          <w:rFonts w:hint="eastAsia" w:ascii="宋体" w:hAnsi="宋体" w:eastAsia="宋体" w:cs="宋体"/>
          <w:sz w:val="24"/>
          <w:szCs w:val="24"/>
          <w:u w:val="single"/>
        </w:rPr>
        <w:t xml:space="preserve">  /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1.10.4 </w:t>
      </w:r>
      <w:r>
        <w:rPr>
          <w:rFonts w:hint="eastAsia" w:ascii="宋体" w:hAnsi="宋体" w:eastAsia="宋体" w:cs="宋体"/>
          <w:sz w:val="24"/>
          <w:szCs w:val="24"/>
        </w:rPr>
        <w:t xml:space="preserve">超大件和超重件的运输</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运输超大件或超重件所需的道路和桥梁临时加固改造费用和其他有关费用由 </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 承担。</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 知识产权</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1.11.1 </w:t>
      </w:r>
      <w:r>
        <w:rPr>
          <w:rFonts w:hint="eastAsia" w:ascii="宋体" w:hAnsi="宋体" w:eastAsia="宋体" w:cs="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rPr>
        <w:t xml:space="preserve">  发包人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关于发包人提供的上述文件的使用限制的要求：</w:t>
      </w:r>
      <w:r>
        <w:rPr>
          <w:rFonts w:hint="eastAsia" w:ascii="宋体" w:hAnsi="宋体" w:eastAsia="宋体" w:cs="宋体"/>
          <w:sz w:val="24"/>
          <w:szCs w:val="24"/>
          <w:u w:val="single"/>
        </w:rPr>
        <w:t xml:space="preserve">  仅限于本工程施工期间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1.11.2 </w:t>
      </w:r>
      <w:r>
        <w:rPr>
          <w:rFonts w:hint="eastAsia" w:ascii="宋体" w:hAnsi="宋体" w:eastAsia="宋体" w:cs="宋体"/>
          <w:sz w:val="24"/>
          <w:szCs w:val="24"/>
        </w:rPr>
        <w:t xml:space="preserve">关于承包人为实施工程所编制文件的著作权的归属：</w:t>
      </w:r>
      <w:r>
        <w:rPr>
          <w:rFonts w:hint="eastAsia" w:ascii="宋体" w:hAnsi="宋体" w:eastAsia="宋体" w:cs="宋体"/>
          <w:sz w:val="24"/>
          <w:szCs w:val="24"/>
          <w:u w:val="single"/>
        </w:rPr>
        <w:t xml:space="preserve">  发包人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关于承包人提供的上述文件的使用限制的要求：</w:t>
      </w:r>
      <w:r>
        <w:rPr>
          <w:rFonts w:hint="eastAsia" w:ascii="宋体" w:hAnsi="宋体" w:eastAsia="宋体" w:cs="宋体"/>
          <w:sz w:val="24"/>
          <w:szCs w:val="24"/>
          <w:u w:val="single"/>
        </w:rPr>
        <w:t xml:space="preserve">  仅限于本工程施工期间，竣工验收后按发包人要求提供完整文件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1.11.4 </w:t>
      </w:r>
      <w:r>
        <w:rPr>
          <w:rFonts w:hint="eastAsia" w:ascii="宋体" w:hAnsi="宋体" w:eastAsia="宋体" w:cs="宋体"/>
          <w:sz w:val="24"/>
          <w:szCs w:val="24"/>
        </w:rPr>
        <w:t xml:space="preserve">承包人在施工过程中所采用的专利、专有技术、技术秘密的使用费的承担方式：</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 工程量清单错误的修正</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出现工程量清单错误时，是否调整合同价格：</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允许调整合同价格的工程量偏差范围：</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2 发包人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2.2 发包人代表</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发包人代表：</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发包人对发包人代表的授权范围如下：</w:t>
      </w:r>
      <w:r>
        <w:rPr>
          <w:rFonts w:hint="eastAsia" w:ascii="宋体" w:hAnsi="宋体" w:eastAsia="宋体" w:cs="宋体"/>
          <w:sz w:val="24"/>
          <w:szCs w:val="24"/>
          <w:u w:val="single"/>
        </w:rPr>
        <w:t xml:space="preserve"> 现场管理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 施工现场、施工条件和基础资料的提供</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2.4.1 </w:t>
      </w:r>
      <w:r>
        <w:rPr>
          <w:rFonts w:hint="eastAsia" w:ascii="宋体" w:hAnsi="宋体" w:eastAsia="宋体" w:cs="宋体"/>
          <w:sz w:val="24"/>
          <w:szCs w:val="24"/>
        </w:rPr>
        <w:t xml:space="preserve">提供施工现场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关于发包人移交施工现场的期限要求：</w:t>
      </w:r>
      <w:r>
        <w:rPr>
          <w:rFonts w:hint="eastAsia" w:ascii="宋体" w:hAnsi="宋体" w:eastAsia="宋体" w:cs="宋体"/>
          <w:sz w:val="24"/>
          <w:szCs w:val="24"/>
          <w:u w:val="single"/>
        </w:rPr>
        <w:t xml:space="preserve">监理人发出的开工通知书载明的开工日期前5天</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2.4.2 </w:t>
      </w:r>
      <w:r>
        <w:rPr>
          <w:rFonts w:hint="eastAsia" w:ascii="宋体" w:hAnsi="宋体" w:eastAsia="宋体" w:cs="宋体"/>
          <w:sz w:val="24"/>
          <w:szCs w:val="24"/>
        </w:rPr>
        <w:t xml:space="preserve">提供施工条件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关于发包人应负责提供施工所需要的条件，包括：</w:t>
      </w:r>
      <w:r>
        <w:rPr>
          <w:rFonts w:hint="eastAsia" w:ascii="宋体" w:hAnsi="宋体" w:eastAsia="宋体" w:cs="宋体"/>
          <w:sz w:val="24"/>
          <w:szCs w:val="24"/>
          <w:u w:val="single"/>
        </w:rPr>
        <w:t xml:space="preserve">/。</w:t>
      </w:r>
      <w:r>
        <w:rPr>
          <w:rFonts w:hint="eastAsia" w:ascii="宋体" w:hAnsi="宋体" w:eastAsia="宋体" w:cs="宋体"/>
          <w:b/>
          <w:bCs/>
          <w:vanish/>
          <w:sz w:val="24"/>
          <w:szCs w:val="24"/>
          <w:highlight w:val="yellow"/>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2.5 资金来源证明及支付担保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发包人提供资金来源证明的期限要求：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发包人是否提供支付担保：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发包人提供支付担保的形式：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3 承包人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3.1 承包人的一般义务</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（5）承包人提交的竣工资料的内容：</w:t>
      </w:r>
      <w:r>
        <w:rPr>
          <w:rFonts w:hint="eastAsia" w:ascii="宋体" w:hAnsi="宋体" w:eastAsia="宋体" w:cs="宋体"/>
          <w:sz w:val="24"/>
          <w:szCs w:val="24"/>
          <w:u w:val="single"/>
        </w:rPr>
        <w:t xml:space="preserve"> 按发包人的要求整理竣工资料</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u w:val="single"/>
        </w:rPr>
        <w:t xml:space="preserve">  叁套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承包人提交的竣工资料的费用承担：</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承包人提交的竣工资料移交时间： </w:t>
      </w:r>
      <w:r>
        <w:rPr>
          <w:rFonts w:hint="eastAsia" w:ascii="宋体" w:hAnsi="宋体" w:eastAsia="宋体" w:cs="宋体"/>
          <w:sz w:val="24"/>
          <w:szCs w:val="24"/>
          <w:u w:val="single"/>
        </w:rPr>
        <w:t xml:space="preserve"> 竣工验收前 7 天</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承包人提交的竣工资料形式要求：</w:t>
      </w:r>
      <w:r>
        <w:rPr>
          <w:rFonts w:hint="eastAsia" w:ascii="宋体" w:hAnsi="宋体" w:eastAsia="宋体" w:cs="宋体"/>
          <w:sz w:val="24"/>
          <w:szCs w:val="24"/>
          <w:u w:val="single"/>
        </w:rPr>
        <w:t xml:space="preserve">按相关文件规定</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（6）承包人应履行的其他义务：</w:t>
      </w:r>
      <w:r>
        <w:rPr>
          <w:rFonts w:hint="eastAsia" w:ascii="宋体" w:hAnsi="宋体" w:eastAsia="宋体" w:cs="宋体"/>
          <w:sz w:val="24"/>
          <w:szCs w:val="24"/>
          <w:u w:val="single"/>
        </w:rPr>
        <w:t xml:space="preserve">1、承包人应采取必要的安全防护措施，提供施工现场看守和警卫等，非夜间施工的照明由承包人负责，如承包人未履行上述义务造成工程财产和人身伤害，由承包人承担所有责任及所发生的费用；</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2、已完工程成品保护的特殊要求及费用承担：采取有效措施，对已完工程进行保护，费用由承包人承担，保护期间发生的损坏，由承包人自费进行修缮；</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3、施工场地周围地下管线和邻近建筑物、构筑物（含文物保护建筑）古树名木的保护要求及费用承担：承包人在施工中必须采取相应的保护措施，费用已包含在投标报价中；</w:t>
      </w:r>
      <w:r/>
    </w:p>
    <w:p>
      <w:pPr>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4、其他详见补充条款。      </w:t>
      </w:r>
      <w:r>
        <w:rPr>
          <w:rFonts w:hint="eastAsia" w:ascii="宋体" w:hAnsi="宋体" w:eastAsia="宋体" w:cs="宋体"/>
          <w:sz w:val="24"/>
          <w:szCs w:val="24"/>
          <w:highlight w:val="none"/>
        </w:rPr>
        <w:t xml:space="preserve"> 。</w:t>
      </w:r>
      <w:r/>
    </w:p>
    <w:p>
      <w:pPr>
        <w:ind w:firstLine="422"/>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3.2 项目经理</w:t>
      </w:r>
      <w:r/>
    </w:p>
    <w:p>
      <w:pPr>
        <w:ind w:firstLine="422"/>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3.2.1 </w:t>
      </w:r>
      <w:r>
        <w:rPr>
          <w:rFonts w:hint="eastAsia" w:ascii="宋体" w:hAnsi="宋体" w:eastAsia="宋体" w:cs="宋体"/>
          <w:sz w:val="24"/>
          <w:szCs w:val="24"/>
          <w:highlight w:val="none"/>
        </w:rPr>
        <w:t xml:space="preserve">项目经理：</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建造师执业资格等级：</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建造师注册证书号：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建造师执业印章号：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安全生产考核合格证书号：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bCs/>
          <w:sz w:val="24"/>
          <w:szCs w:val="24"/>
          <w:u w:val="single"/>
        </w:rPr>
      </w:pPr>
      <w:r>
        <w:rPr>
          <w:rFonts w:hint="eastAsia" w:ascii="宋体" w:hAnsi="宋体" w:eastAsia="宋体" w:cs="宋体"/>
          <w:sz w:val="24"/>
          <w:szCs w:val="24"/>
        </w:rPr>
        <w:t xml:space="preserve">承包人对项目经理的授权范围如下： </w:t>
      </w:r>
      <w:r>
        <w:rPr>
          <w:rFonts w:hint="eastAsia" w:ascii="宋体" w:hAnsi="宋体" w:eastAsia="宋体" w:cs="宋体"/>
          <w:bCs/>
          <w:sz w:val="24"/>
          <w:szCs w:val="24"/>
          <w:u w:val="single"/>
        </w:rPr>
        <w:t xml:space="preserve"> 受承包人委托全面负责工程安全、质量、进度、投资及</w:t>
      </w:r>
      <w:r>
        <w:rPr>
          <w:rFonts w:hint="eastAsia" w:ascii="宋体" w:hAnsi="宋体" w:eastAsia="宋体" w:cs="宋体"/>
          <w:bCs/>
          <w:color w:val="auto"/>
          <w:sz w:val="24"/>
          <w:szCs w:val="24"/>
          <w:u w:val="single"/>
        </w:rPr>
        <w:t xml:space="preserve">工程资料收集整理存档等五大</w:t>
      </w:r>
      <w:r>
        <w:rPr>
          <w:rFonts w:hint="eastAsia" w:ascii="宋体" w:hAnsi="宋体" w:eastAsia="宋体" w:cs="宋体"/>
          <w:bCs/>
          <w:sz w:val="24"/>
          <w:szCs w:val="24"/>
          <w:u w:val="single"/>
        </w:rPr>
        <w:t xml:space="preserve">控制要素，完善合同、信息、组织管理体系，做好安全监督，文明标准化现场工作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关于项目经理每月在施工现场的时间要求</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不低于 20 天。</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pStyle w:val="860"/>
        <w:ind w:firstLine="420"/>
        <w:pageBreakBefore w:val="0"/>
        <w:spacing w:before="60"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bCs/>
          <w:sz w:val="24"/>
          <w:szCs w:val="24"/>
          <w:u w:val="single"/>
          <w:lang w:val="en-US" w:eastAsia="zh-CN" w:bidi="ar-SA"/>
        </w:rPr>
        <w:t xml:space="preserve">（1）项目经理未经发包人同意不得擅自更换。（2）中标项目经理本人在施工期间必须常驻现场，每周驻现场时间不得少于5天、每天在现场时间不得少于8小时。（3）项目经理必须参加现场的工地例会，因故不能参加需事先征得发包人同意。若违反上述要求之一发包人将按每天1000元/人次对项目经理进行处罚。</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3.2.3 </w:t>
      </w:r>
      <w:r>
        <w:rPr>
          <w:rFonts w:hint="eastAsia" w:ascii="宋体" w:hAnsi="宋体" w:eastAsia="宋体" w:cs="宋体"/>
          <w:sz w:val="24"/>
          <w:szCs w:val="24"/>
        </w:rPr>
        <w:t xml:space="preserve">承包人擅自更换项目经理的违约责任：</w:t>
      </w:r>
      <w:r>
        <w:rPr>
          <w:rFonts w:hint="eastAsia" w:ascii="宋体" w:hAnsi="宋体" w:eastAsia="宋体" w:cs="宋体"/>
          <w:sz w:val="24"/>
          <w:szCs w:val="24"/>
          <w:u w:val="single"/>
        </w:rPr>
        <w:t xml:space="preserve">  / 。</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3.2.4 </w:t>
      </w:r>
      <w:r>
        <w:rPr>
          <w:rFonts w:hint="eastAsia" w:ascii="宋体" w:hAnsi="宋体" w:eastAsia="宋体" w:cs="宋体"/>
          <w:sz w:val="24"/>
          <w:szCs w:val="24"/>
        </w:rPr>
        <w:t xml:space="preserve">承包人无正当理由拒绝更换项目经理的违约责任：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3.3 承包人人员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3.3.1 </w:t>
      </w:r>
      <w:r>
        <w:rPr>
          <w:rFonts w:hint="eastAsia" w:ascii="宋体" w:hAnsi="宋体" w:eastAsia="宋体" w:cs="宋体"/>
          <w:sz w:val="24"/>
          <w:szCs w:val="24"/>
        </w:rPr>
        <w:t xml:space="preserve">承包人提交项目管理机构及施工现场管理人员安排报告的期限：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3.3.3 </w:t>
      </w:r>
      <w:r>
        <w:rPr>
          <w:rFonts w:hint="eastAsia" w:ascii="宋体" w:hAnsi="宋体" w:eastAsia="宋体" w:cs="宋体"/>
          <w:sz w:val="24"/>
          <w:szCs w:val="24"/>
        </w:rPr>
        <w:t xml:space="preserve">承包人无正当理由拒绝撤换主要施工管理人员的违约责任：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3.3.4 </w:t>
      </w:r>
      <w:r>
        <w:rPr>
          <w:rFonts w:hint="eastAsia" w:ascii="宋体" w:hAnsi="宋体" w:eastAsia="宋体" w:cs="宋体"/>
          <w:sz w:val="24"/>
          <w:szCs w:val="24"/>
        </w:rPr>
        <w:t xml:space="preserve">承包人主要施工管理人员离开施工现场的批准要求：</w:t>
      </w:r>
      <w:r>
        <w:rPr>
          <w:rFonts w:hint="eastAsia" w:ascii="宋体" w:hAnsi="宋体" w:eastAsia="宋体" w:cs="宋体"/>
          <w:sz w:val="24"/>
          <w:szCs w:val="24"/>
          <w:u w:val="single"/>
        </w:rPr>
        <w:t xml:space="preserve">需经发包人同意。</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3.3.5 </w:t>
      </w:r>
      <w:r>
        <w:rPr>
          <w:rFonts w:hint="eastAsia" w:ascii="宋体" w:hAnsi="宋体" w:eastAsia="宋体" w:cs="宋体"/>
          <w:sz w:val="24"/>
          <w:szCs w:val="24"/>
        </w:rPr>
        <w:t xml:space="preserve">承包人擅自更换主要施工管理人员的违约责任：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承包人主要施工管理人员擅自离开施工现场的违约责任：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 分包</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3.5.1 </w:t>
      </w:r>
      <w:r>
        <w:rPr>
          <w:rFonts w:hint="eastAsia" w:ascii="宋体" w:hAnsi="宋体" w:eastAsia="宋体" w:cs="宋体"/>
          <w:sz w:val="24"/>
          <w:szCs w:val="24"/>
        </w:rPr>
        <w:t xml:space="preserve">分包的一般约定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禁止分包的工程包括：</w:t>
      </w:r>
      <w:r>
        <w:rPr>
          <w:rFonts w:hint="eastAsia" w:ascii="宋体" w:hAnsi="宋体" w:eastAsia="宋体" w:cs="宋体"/>
          <w:sz w:val="24"/>
          <w:szCs w:val="24"/>
          <w:u w:val="single"/>
        </w:rPr>
        <w:t xml:space="preserve">本工程不允许非法转包、违法分包。对于专业分包项目必须经发包人同意分包给具备相应资质要求的单位。</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主体结构、关键性工作的范围： </w:t>
      </w:r>
      <w:r>
        <w:rPr>
          <w:rFonts w:hint="eastAsia" w:ascii="宋体" w:hAnsi="宋体" w:eastAsia="宋体" w:cs="宋体"/>
          <w:sz w:val="24"/>
          <w:szCs w:val="24"/>
          <w:u w:val="single"/>
        </w:rPr>
        <w:t xml:space="preserve">  按照相关规定执行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3.5.2 </w:t>
      </w:r>
      <w:r>
        <w:rPr>
          <w:rFonts w:hint="eastAsia" w:ascii="宋体" w:hAnsi="宋体" w:eastAsia="宋体" w:cs="宋体"/>
          <w:sz w:val="24"/>
          <w:szCs w:val="24"/>
        </w:rPr>
        <w:t xml:space="preserve">分包的确定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允许分包的专业工程包括：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其他关于分包的约定：</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3.5.4 </w:t>
      </w:r>
      <w:r>
        <w:rPr>
          <w:rFonts w:hint="eastAsia" w:ascii="宋体" w:hAnsi="宋体" w:eastAsia="宋体" w:cs="宋体"/>
          <w:sz w:val="24"/>
          <w:szCs w:val="24"/>
        </w:rPr>
        <w:t xml:space="preserve">分包合同价款</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关于分包合同价款支付的约定：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3.6 工程照管与成品、半成品保护</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承包人负责照管工程及工程相关的材料、工程设备的起始时间：</w:t>
      </w:r>
      <w:r>
        <w:rPr>
          <w:rFonts w:hint="eastAsia" w:ascii="宋体" w:hAnsi="宋体" w:eastAsia="宋体" w:cs="宋体"/>
          <w:sz w:val="24"/>
          <w:szCs w:val="24"/>
          <w:u w:val="single"/>
        </w:rPr>
        <w:t xml:space="preserve">承包人进场至竣工验收交付期间</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3.7 履约担保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承包人是否提供履约担保：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承包人提供履约担保的形式、金额及期限的：</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4 监理人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4.1 监理人的一般规定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关于监理人的监理内容： </w:t>
      </w:r>
      <w:r>
        <w:rPr>
          <w:rFonts w:hint="eastAsia" w:ascii="宋体" w:hAnsi="宋体" w:eastAsia="宋体" w:cs="宋体"/>
          <w:sz w:val="24"/>
          <w:szCs w:val="24"/>
          <w:u w:val="single"/>
        </w:rPr>
        <w:t xml:space="preserve">详见本工程监理合同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关于监理人的监理权限： </w:t>
      </w:r>
      <w:r>
        <w:rPr>
          <w:rFonts w:hint="eastAsia" w:ascii="宋体" w:hAnsi="宋体" w:eastAsia="宋体" w:cs="宋体"/>
          <w:sz w:val="24"/>
          <w:szCs w:val="24"/>
          <w:u w:val="single"/>
        </w:rPr>
        <w:t xml:space="preserve"> 不管通用合同条款如何约定，监理人履行经发包人批准行使的权力（涉及工程造价的签证、施工中和图纸中的建议、开工令、停工令、复工令，所有涉及增加投资的施工组织设计的审批和认可等，详见本工程监理合同）时，应当向承包人出示其行使该权力已经取得发包人批准的文件或者其他合法有效的证明。</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关于监理人在施工现场的办公场所、生活场所的提供和费用承担的约定：</w:t>
      </w:r>
      <w:r>
        <w:rPr>
          <w:rFonts w:hint="eastAsia" w:ascii="宋体" w:hAnsi="宋体" w:eastAsia="宋体" w:cs="宋体"/>
          <w:sz w:val="24"/>
          <w:szCs w:val="24"/>
          <w:u w:val="single"/>
        </w:rPr>
        <w:t xml:space="preserve">承包人提供现场办公用房</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4.2 监理人员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总监理工程师：</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监理工程师执业资格证书号：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关于监理人的其他约定：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4.4 商定或确定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在发包人和承包人不能通过协商达成一致意见时，发包人授权监理人对以下事项进行确定：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5 工程质量</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5.1 质量要求</w:t>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bCs/>
          <w:sz w:val="24"/>
          <w:szCs w:val="24"/>
        </w:rPr>
        <w:t xml:space="preserve">5.1.1 </w:t>
      </w:r>
      <w:r>
        <w:rPr>
          <w:rFonts w:hint="eastAsia" w:ascii="宋体" w:hAnsi="宋体" w:eastAsia="宋体" w:cs="宋体"/>
          <w:sz w:val="24"/>
          <w:szCs w:val="24"/>
        </w:rPr>
        <w:t xml:space="preserve">特殊质量标准和要求：</w:t>
      </w:r>
      <w:r>
        <w:rPr>
          <w:rFonts w:hint="eastAsia" w:ascii="宋体" w:hAnsi="宋体" w:eastAsia="宋体" w:cs="宋体"/>
          <w:b/>
          <w:sz w:val="24"/>
          <w:szCs w:val="24"/>
          <w:u w:val="single"/>
        </w:rPr>
        <w:t xml:space="preserve">质量标准：合格。承包人必须严格按照施工图纸、工程技术要求及有关工程施工规范和标准施工，并接受发包人委托的监理单位全方位、全过程的监督管理。</w:t>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（1）一次核验不符合质量要求，除由承包人承担返工损失外，经重新验收达到合格标准的，按合同价的1%扣承包人罚金；</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sz w:val="24"/>
          <w:szCs w:val="24"/>
          <w:u w:val="single"/>
        </w:rPr>
        <w:t xml:space="preserve">（2）二次核验不符合质量要求，除由承包人承担返工损失外，经重新验收达到合格标准的，按合同价的2%扣承包人罚金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关于工程奖项的约定：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5.3 隐蔽工程检查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5.3.2 </w:t>
      </w:r>
      <w:r>
        <w:rPr>
          <w:rFonts w:hint="eastAsia" w:ascii="宋体" w:hAnsi="宋体" w:eastAsia="宋体" w:cs="宋体"/>
          <w:sz w:val="24"/>
          <w:szCs w:val="24"/>
        </w:rPr>
        <w:t xml:space="preserve">承包人提前通知监理人隐蔽工程检查的期限的约定：</w:t>
      </w:r>
      <w:r>
        <w:rPr>
          <w:rFonts w:hint="eastAsia" w:ascii="宋体" w:hAnsi="宋体" w:eastAsia="宋体" w:cs="宋体"/>
          <w:sz w:val="24"/>
          <w:szCs w:val="24"/>
          <w:u w:val="single"/>
        </w:rPr>
        <w:t xml:space="preserve">收到承包人申报材料后 24 小时内</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24</w:t>
      </w:r>
      <w:r>
        <w:rPr>
          <w:rFonts w:hint="eastAsia" w:ascii="宋体" w:hAnsi="宋体" w:eastAsia="宋体" w:cs="宋体"/>
          <w:sz w:val="24"/>
          <w:szCs w:val="24"/>
        </w:rPr>
        <w:t xml:space="preserve">小时提交书面延期要求。</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 </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6 安全文明施工与环境保护</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6.1 安全文明施工</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6.1.1 </w:t>
      </w:r>
      <w:r>
        <w:rPr>
          <w:rFonts w:hint="eastAsia" w:ascii="宋体" w:hAnsi="宋体" w:eastAsia="宋体" w:cs="宋体"/>
          <w:sz w:val="24"/>
          <w:szCs w:val="24"/>
        </w:rPr>
        <w:t xml:space="preserve">项目安全生产的达标目标及相应事项的约定：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（1）、做好施工方案的报批审核工作。</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（2）、按照相应的技术规范和流程进行作业。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（3）、为相关施工人员办理意外伤害保险。</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（4）、施工期间承包人应加强施工管理，防止安全事故发生，如发生施工安全事故，所产生的责任和经济损失由承包人承担。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6.1.4 </w:t>
      </w:r>
      <w:r>
        <w:rPr>
          <w:rFonts w:hint="eastAsia" w:ascii="宋体" w:hAnsi="宋体" w:eastAsia="宋体" w:cs="宋体"/>
          <w:sz w:val="24"/>
          <w:szCs w:val="24"/>
        </w:rPr>
        <w:t xml:space="preserve">关于治安保卫的特别约定：</w:t>
      </w:r>
      <w:r>
        <w:rPr>
          <w:rFonts w:hint="eastAsia" w:ascii="宋体" w:hAnsi="宋体" w:eastAsia="宋体" w:cs="宋体"/>
          <w:sz w:val="24"/>
          <w:szCs w:val="24"/>
          <w:u w:val="single"/>
        </w:rPr>
        <w:t xml:space="preserve"> 发包人协助， 承包人负责 </w:t>
      </w:r>
      <w:r>
        <w:rPr>
          <w:rFonts w:hint="eastAsia" w:ascii="宋体" w:hAnsi="宋体" w:eastAsia="宋体" w:cs="宋体"/>
          <w:sz w:val="24"/>
          <w:szCs w:val="24"/>
        </w:rPr>
        <w:t xml:space="preserve">。</w:t>
      </w:r>
      <w:r>
        <w:rPr>
          <w:rFonts w:hint="eastAsia" w:ascii="宋体" w:hAnsi="宋体" w:eastAsia="宋体" w:cs="宋体"/>
          <w:b/>
          <w:bCs/>
          <w:vanish/>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6.1.5 </w:t>
      </w:r>
      <w:r>
        <w:rPr>
          <w:rFonts w:hint="eastAsia" w:ascii="宋体" w:hAnsi="宋体" w:eastAsia="宋体" w:cs="宋体"/>
          <w:sz w:val="24"/>
          <w:szCs w:val="24"/>
        </w:rPr>
        <w:t xml:space="preserve">文明施工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6.1.6 </w:t>
      </w:r>
      <w:r>
        <w:rPr>
          <w:rFonts w:hint="eastAsia" w:ascii="宋体" w:hAnsi="宋体" w:eastAsia="宋体" w:cs="宋体"/>
          <w:sz w:val="24"/>
          <w:szCs w:val="24"/>
        </w:rPr>
        <w:t xml:space="preserve">关于安全文明施工费支付比例和支付期限的约定</w:t>
      </w:r>
      <w:r>
        <w:rPr>
          <w:rFonts w:hint="eastAsia" w:ascii="宋体" w:hAnsi="宋体" w:eastAsia="宋体" w:cs="宋体"/>
          <w:sz w:val="24"/>
          <w:szCs w:val="24"/>
          <w:u w:val="single"/>
        </w:rPr>
        <w:t xml:space="preserve">：/</w:t>
      </w:r>
      <w:r>
        <w:rPr>
          <w:rFonts w:hint="eastAsia" w:ascii="宋体" w:hAnsi="宋体" w:eastAsia="宋体" w:cs="宋体"/>
          <w:b/>
          <w:bCs/>
          <w:vanish/>
          <w:sz w:val="24"/>
          <w:szCs w:val="24"/>
        </w:rPr>
      </w:r>
      <w:r/>
    </w:p>
    <w:p>
      <w:pPr>
        <w:ind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7 工期和进度</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7.1 施工组织设计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合同当事人约定的施工组织设计应包括的其他内容：</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7.1.2 </w:t>
      </w:r>
      <w:r>
        <w:rPr>
          <w:rFonts w:hint="eastAsia" w:ascii="宋体" w:hAnsi="宋体" w:eastAsia="宋体" w:cs="宋体"/>
          <w:sz w:val="24"/>
          <w:szCs w:val="24"/>
        </w:rPr>
        <w:t xml:space="preserve">施工组织设计的提交和修改</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承包人提交详细施工组织设计的期限的约定：</w:t>
      </w:r>
      <w:r>
        <w:rPr>
          <w:rFonts w:hint="eastAsia" w:ascii="宋体" w:hAnsi="宋体" w:eastAsia="宋体" w:cs="宋体"/>
          <w:sz w:val="24"/>
          <w:szCs w:val="24"/>
          <w:u w:val="single"/>
        </w:rPr>
        <w:t xml:space="preserve">  合同生效后 3 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 发包人、监理在 7天内予以回复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7.2 施工进度计划</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7.2.2 </w:t>
      </w:r>
      <w:r>
        <w:rPr>
          <w:rFonts w:hint="eastAsia" w:ascii="宋体" w:hAnsi="宋体" w:eastAsia="宋体" w:cs="宋体"/>
          <w:sz w:val="24"/>
          <w:szCs w:val="24"/>
        </w:rPr>
        <w:t xml:space="preserve">施工进度计划的修订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发包人和监理人在收到修订的施工进度计划后确认或提出修改意见的期限： </w:t>
      </w:r>
      <w:r>
        <w:rPr>
          <w:rFonts w:hint="eastAsia" w:ascii="宋体" w:hAnsi="宋体" w:eastAsia="宋体" w:cs="宋体"/>
          <w:sz w:val="24"/>
          <w:szCs w:val="24"/>
          <w:u w:val="single"/>
        </w:rPr>
        <w:t xml:space="preserve"> 合同签订后1周内，向发包人提供投标文件中经细化的施工组织设计（施工方案）和进度计划1份，发包人3天内予以确认或要求承包人进行修改，以确认后，承包人应于2天内提供正式的施工组织设计（施工方案）2份，进度计划2份给发包人，因承包人原因未及时提供合格的施工组织设计（施工方案）和进度计划而造成损失的，由承包人承担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 开工</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7.3.1 </w:t>
      </w:r>
      <w:r>
        <w:rPr>
          <w:rFonts w:hint="eastAsia" w:ascii="宋体" w:hAnsi="宋体" w:eastAsia="宋体" w:cs="宋体"/>
          <w:sz w:val="24"/>
          <w:szCs w:val="24"/>
        </w:rPr>
        <w:t xml:space="preserve">开工准备</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关于承包人提交工程开工报审表的期限： </w:t>
      </w:r>
      <w:r>
        <w:rPr>
          <w:rFonts w:hint="eastAsia" w:ascii="宋体" w:hAnsi="宋体" w:eastAsia="宋体" w:cs="宋体"/>
          <w:sz w:val="24"/>
          <w:szCs w:val="24"/>
          <w:u w:val="single"/>
        </w:rPr>
        <w:t xml:space="preserve">  按发包人要求执行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关于承包人应完成的其他开工准备工作及期限：</w:t>
      </w:r>
      <w:r>
        <w:rPr>
          <w:rFonts w:hint="eastAsia" w:ascii="宋体" w:hAnsi="宋体" w:eastAsia="宋体" w:cs="宋体"/>
          <w:sz w:val="24"/>
          <w:szCs w:val="24"/>
          <w:u w:val="single"/>
        </w:rPr>
        <w:t xml:space="preserve">按发包人要求执行</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7.3.2 </w:t>
      </w:r>
      <w:r>
        <w:rPr>
          <w:rFonts w:hint="eastAsia" w:ascii="宋体" w:hAnsi="宋体" w:eastAsia="宋体" w:cs="宋体"/>
          <w:sz w:val="24"/>
          <w:szCs w:val="24"/>
        </w:rPr>
        <w:t xml:space="preserve"> 开工通知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因发包人原因造成监理人未能在计划开工日期之日起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天内发出开工通知的，承包人有权提出价格调整要求，或者解除合同。</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7.4 测量放线</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7.4.1 </w:t>
      </w:r>
      <w:r>
        <w:rPr>
          <w:rFonts w:hint="eastAsia" w:ascii="宋体" w:hAnsi="宋体" w:eastAsia="宋体" w:cs="宋体"/>
          <w:sz w:val="24"/>
          <w:szCs w:val="24"/>
        </w:rPr>
        <w:t xml:space="preserve">发包人通过监理人向承包人提供测量基准点、基准线和水准点及其书面资料的期限： </w:t>
      </w:r>
      <w:r>
        <w:rPr>
          <w:rFonts w:hint="eastAsia" w:ascii="宋体" w:hAnsi="宋体" w:eastAsia="宋体" w:cs="宋体"/>
          <w:sz w:val="24"/>
          <w:szCs w:val="24"/>
          <w:u w:val="single"/>
        </w:rPr>
        <w:t xml:space="preserve">开工前 7 天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 工期延误</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7.5.1 </w:t>
      </w:r>
      <w:r>
        <w:rPr>
          <w:rFonts w:hint="eastAsia" w:ascii="宋体" w:hAnsi="宋体" w:eastAsia="宋体" w:cs="宋体"/>
          <w:sz w:val="24"/>
          <w:szCs w:val="24"/>
        </w:rPr>
        <w:t xml:space="preserve">因发包人原因导致工期延误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（7）因发包人原因导致工期延误的其他情形： </w:t>
      </w:r>
      <w:r>
        <w:rPr>
          <w:rFonts w:hint="eastAsia" w:ascii="宋体" w:hAnsi="宋体" w:eastAsia="宋体" w:cs="宋体"/>
          <w:sz w:val="24"/>
          <w:szCs w:val="24"/>
          <w:u w:val="single"/>
        </w:rPr>
        <w:t xml:space="preserve"> 工期相应顺延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7.5.2 </w:t>
      </w:r>
      <w:r>
        <w:rPr>
          <w:rFonts w:hint="eastAsia" w:ascii="宋体" w:hAnsi="宋体" w:eastAsia="宋体" w:cs="宋体"/>
          <w:sz w:val="24"/>
          <w:szCs w:val="24"/>
        </w:rPr>
        <w:t xml:space="preserve">因承包人原因导致工期延误</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因承包人原因造成工期延误，逾期竣工违约金的计算方法为：</w:t>
      </w:r>
      <w:r>
        <w:rPr>
          <w:rFonts w:hint="eastAsia" w:ascii="宋体" w:hAnsi="宋体" w:eastAsia="宋体" w:cs="宋体"/>
          <w:sz w:val="24"/>
          <w:szCs w:val="24"/>
          <w:u w:val="single"/>
        </w:rPr>
        <w:t xml:space="preserve">由承包人因自身原因未能在承诺工期内完成招标范围内的全部工程内容，逾期业主将按现金2000元/天处罚</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因承包人原因造成工期延误，逾期竣工违约金的上限：</w:t>
      </w: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其他约定：</w:t>
      </w:r>
      <w:r>
        <w:rPr>
          <w:rFonts w:hint="eastAsia" w:ascii="宋体" w:hAnsi="宋体" w:eastAsia="宋体" w:cs="宋体"/>
          <w:sz w:val="24"/>
          <w:szCs w:val="24"/>
          <w:u w:val="single"/>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7.6 不利物质条件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承包人遇到不利物质条件需延误工期的，必须向发包人报告并取得发包人同意，相应的工期延误由发包人承担，由此增加的相关费用由发包人承担。 未经发包人同意的不利物质条件造成的工期延误及费用增加由承包人自行承担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7.7 异常恶劣的气候条件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不可抗力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7.9 提前竣工的奖励</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7.9.2 </w:t>
      </w:r>
      <w:r>
        <w:rPr>
          <w:rFonts w:hint="eastAsia" w:ascii="宋体" w:hAnsi="宋体" w:eastAsia="宋体" w:cs="宋体"/>
          <w:sz w:val="24"/>
          <w:szCs w:val="24"/>
        </w:rPr>
        <w:t xml:space="preserve">提前竣工的奖励：</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8 材料与设备</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8.4 材料与工程设备的保管与使用</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8.4.1 </w:t>
      </w:r>
      <w:r>
        <w:rPr>
          <w:rFonts w:hint="eastAsia" w:ascii="宋体" w:hAnsi="宋体" w:eastAsia="宋体" w:cs="宋体"/>
          <w:sz w:val="24"/>
          <w:szCs w:val="24"/>
        </w:rPr>
        <w:t xml:space="preserve">发包人供应的材料设备的保管费用的承担：</w:t>
      </w:r>
      <w:r>
        <w:rPr>
          <w:rFonts w:hint="eastAsia" w:ascii="宋体" w:hAnsi="宋体" w:eastAsia="宋体" w:cs="宋体"/>
          <w:sz w:val="24"/>
          <w:szCs w:val="24"/>
          <w:u w:val="single"/>
        </w:rPr>
        <w:t xml:space="preserve"> 双方协商解决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8.6 样品</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8.6.1 </w:t>
      </w:r>
      <w:r>
        <w:rPr>
          <w:rFonts w:hint="eastAsia" w:ascii="宋体" w:hAnsi="宋体" w:eastAsia="宋体" w:cs="宋体"/>
          <w:sz w:val="24"/>
          <w:szCs w:val="24"/>
        </w:rPr>
        <w:t xml:space="preserve">样品的报送与封存</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需要承包人报送样品的材料或工程设备，样品的种类、名称、规格、数量要求。</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8.8 施工设备和临时设施</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8.8.1 </w:t>
      </w:r>
      <w:r>
        <w:rPr>
          <w:rFonts w:hint="eastAsia" w:ascii="宋体" w:hAnsi="宋体" w:eastAsia="宋体" w:cs="宋体"/>
          <w:sz w:val="24"/>
          <w:szCs w:val="24"/>
        </w:rPr>
        <w:t xml:space="preserve">关于修建临时设施费用承担的约定：</w:t>
      </w:r>
      <w:r>
        <w:rPr>
          <w:rFonts w:hint="eastAsia" w:ascii="宋体" w:hAnsi="宋体" w:eastAsia="宋体" w:cs="宋体"/>
          <w:sz w:val="24"/>
          <w:szCs w:val="24"/>
          <w:u w:val="single"/>
        </w:rPr>
        <w:t xml:space="preserve">按通用条款执行（已包含在投标报价中）</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9 试验与检验</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9.1 试验设备与试验人员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9.1.2 </w:t>
      </w:r>
      <w:r>
        <w:rPr>
          <w:rFonts w:hint="eastAsia" w:ascii="宋体" w:hAnsi="宋体" w:eastAsia="宋体" w:cs="宋体"/>
          <w:sz w:val="24"/>
          <w:szCs w:val="24"/>
        </w:rPr>
        <w:t xml:space="preserve">试验设备</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施工现场需要配置的试验场所：</w:t>
      </w:r>
      <w:r>
        <w:rPr>
          <w:rFonts w:hint="eastAsia" w:ascii="宋体" w:hAnsi="宋体" w:eastAsia="宋体" w:cs="宋体"/>
          <w:sz w:val="24"/>
          <w:szCs w:val="24"/>
          <w:u w:val="single"/>
        </w:rPr>
        <w:t xml:space="preserve">  按工程需要或发包人要求提供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  </w:t>
      </w:r>
      <w:r>
        <w:rPr>
          <w:rFonts w:hint="eastAsia" w:ascii="宋体" w:hAnsi="宋体" w:eastAsia="宋体" w:cs="宋体"/>
          <w:sz w:val="24"/>
          <w:szCs w:val="24"/>
          <w:u w:val="single"/>
        </w:rPr>
        <w:t xml:space="preserve"> 按工程需要或发包人要求提供</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施工现场需要具备的其他试验条件：  </w:t>
      </w:r>
      <w:r>
        <w:rPr>
          <w:rFonts w:hint="eastAsia" w:ascii="宋体" w:hAnsi="宋体" w:eastAsia="宋体" w:cs="宋体"/>
          <w:sz w:val="24"/>
          <w:szCs w:val="24"/>
          <w:u w:val="single"/>
        </w:rPr>
        <w:t xml:space="preserve"> 按工程需要或发包人要求提供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9.4 现场工艺试验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按工程需要或发包人要求提供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10 变更</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10.1 变更的范围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关于变更的范围的约定：所有涉及设计方案（或规划方案）的变更，须经发包人书面批准后方可实施，否则一律不予签证和结算。</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10.4 变更估价</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10.4.1 </w:t>
      </w:r>
      <w:r>
        <w:rPr>
          <w:rFonts w:hint="eastAsia" w:ascii="宋体" w:hAnsi="宋体" w:eastAsia="宋体" w:cs="宋体"/>
          <w:sz w:val="24"/>
          <w:szCs w:val="24"/>
        </w:rPr>
        <w:t xml:space="preserve">变更估价原则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关于变更估价的约定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10.5 承包人的合理化建议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另行商定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发包人审查承包人合理化建议的期限：</w:t>
      </w:r>
      <w:r>
        <w:rPr>
          <w:rFonts w:hint="eastAsia" w:ascii="宋体" w:hAnsi="宋体" w:eastAsia="宋体" w:cs="宋体"/>
          <w:sz w:val="24"/>
          <w:szCs w:val="24"/>
          <w:u w:val="single"/>
        </w:rPr>
        <w:t xml:space="preserve"> 另行商定</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承包人提出的合理化建议降低了合同价格或者提高了工程经济效益的奖励的方法和金额为：</w:t>
      </w:r>
      <w:r>
        <w:rPr>
          <w:rFonts w:hint="eastAsia" w:ascii="宋体" w:hAnsi="宋体" w:eastAsia="宋体" w:cs="宋体"/>
          <w:sz w:val="24"/>
          <w:szCs w:val="24"/>
          <w:u w:val="single"/>
        </w:rPr>
        <w:t xml:space="preserve">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 暂估价</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暂估价材料和工程设备的明细详见附件11：《暂估价一览表》。</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10.7.1 </w:t>
      </w:r>
      <w:r>
        <w:rPr>
          <w:rFonts w:hint="eastAsia" w:ascii="宋体" w:hAnsi="宋体" w:eastAsia="宋体" w:cs="宋体"/>
          <w:sz w:val="24"/>
          <w:szCs w:val="24"/>
        </w:rPr>
        <w:t xml:space="preserve">依法必须招标的暂估价项目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种方式确定。</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10.7.2 </w:t>
      </w:r>
      <w:r>
        <w:rPr>
          <w:rFonts w:hint="eastAsia" w:ascii="宋体" w:hAnsi="宋体" w:eastAsia="宋体" w:cs="宋体"/>
          <w:sz w:val="24"/>
          <w:szCs w:val="24"/>
        </w:rPr>
        <w:t xml:space="preserve">不属于依法必须招标的暂估价项目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种方式确定。</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第3种方式：承包人直接实施的暂估价项目</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承包人直接实施的暂估价项目的约定：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10.8 暂列金额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合同当事人关于暂列金额使用的约定：</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11 价格调整</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 市场价格波动引起的调整</w:t>
      </w:r>
      <w:r/>
    </w:p>
    <w:p>
      <w:pPr>
        <w:pStyle w:val="845"/>
        <w:ind w:firstLine="480"/>
        <w:pageBreakBefore w:val="0"/>
        <w:spacing w:line="360" w:lineRule="auto"/>
        <w:rPr>
          <w:rFonts w:hint="eastAsia" w:ascii="宋体" w:hAnsi="宋体" w:eastAsia="宋体" w:cs="宋体"/>
          <w:b w:val="0"/>
          <w:bCs/>
          <w:sz w:val="24"/>
          <w:szCs w:val="24"/>
          <w:u w:val="single"/>
        </w:rPr>
      </w:pPr>
      <w:r>
        <w:rPr>
          <w:rFonts w:hint="eastAsia" w:ascii="宋体" w:hAnsi="宋体" w:eastAsia="宋体" w:cs="宋体"/>
          <w:b w:val="0"/>
          <w:sz w:val="24"/>
          <w:szCs w:val="24"/>
        </w:rPr>
        <w:t xml:space="preserve">市场价格波动是否调整合同价格的约定：</w:t>
      </w:r>
      <w:r>
        <w:rPr>
          <w:rFonts w:hint="eastAsia" w:ascii="宋体" w:hAnsi="宋体" w:eastAsia="宋体" w:cs="宋体"/>
          <w:b w:val="0"/>
          <w:sz w:val="24"/>
          <w:szCs w:val="24"/>
          <w:u w:val="single"/>
        </w:rPr>
        <w:t xml:space="preserve">  /  </w:t>
      </w:r>
      <w:r>
        <w:rPr>
          <w:rFonts w:hint="eastAsia" w:ascii="宋体" w:hAnsi="宋体" w:eastAsia="宋体" w:cs="宋体"/>
          <w:b w:val="0"/>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因市场价格波动调整合同价格，采用以下</w:t>
      </w:r>
      <w:r>
        <w:rPr>
          <w:rFonts w:hint="eastAsia" w:ascii="宋体" w:hAnsi="宋体" w:eastAsia="宋体" w:cs="宋体"/>
          <w:b/>
          <w:sz w:val="24"/>
          <w:szCs w:val="24"/>
        </w:rPr>
        <w:t xml:space="preserve">第</w:t>
      </w:r>
      <w:r>
        <w:rPr>
          <w:rFonts w:hint="eastAsia" w:ascii="宋体" w:hAnsi="宋体" w:eastAsia="宋体" w:cs="宋体"/>
          <w:b/>
          <w:sz w:val="24"/>
          <w:szCs w:val="24"/>
          <w:u w:val="single"/>
        </w:rPr>
        <w:t xml:space="preserve">  3   </w:t>
      </w:r>
      <w:r>
        <w:rPr>
          <w:rFonts w:hint="eastAsia" w:ascii="宋体" w:hAnsi="宋体" w:eastAsia="宋体" w:cs="宋体"/>
          <w:b/>
          <w:sz w:val="24"/>
          <w:szCs w:val="24"/>
        </w:rPr>
        <w:t xml:space="preserve">种</w:t>
      </w:r>
      <w:r>
        <w:rPr>
          <w:rFonts w:hint="eastAsia" w:ascii="宋体" w:hAnsi="宋体" w:eastAsia="宋体" w:cs="宋体"/>
          <w:sz w:val="24"/>
          <w:szCs w:val="24"/>
        </w:rPr>
        <w:t xml:space="preserve">方式对合同价格进行调整：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第1种方式：采用价格指数进行价格调整。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关于各可调因子、定值和变值权重，以及基本价格指数及其来源的约定：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第2种方式：采用造价信息进行价格调整。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（2）关于基准价格的约定：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%时，或材料单价跌幅以已标价工程量清单或预算书中载明材料单价为基础超过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%时，材料单价涨幅以已标价工程量清单或预算书中载明材料单价为基础超过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第3种方式：其他价格调整方式：</w:t>
      </w:r>
      <w:r>
        <w:rPr>
          <w:rFonts w:hint="eastAsia" w:ascii="宋体" w:hAnsi="宋体" w:eastAsia="宋体" w:cs="宋体"/>
          <w:b/>
          <w:sz w:val="24"/>
          <w:szCs w:val="24"/>
          <w:u w:val="single"/>
        </w:rPr>
        <w:t xml:space="preserve">  同12.1款 。</w:t>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12 合同价格、计量与支付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12.1 合同价格形式</w:t>
      </w:r>
      <w:r/>
    </w:p>
    <w:p>
      <w:pPr>
        <w:numPr>
          <w:ilvl w:val="0"/>
          <w:numId w:val="12"/>
        </w:num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单价合同。</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在合同约定的风险范围内综合单价不可调整。工程量清单中的综合单价和其中以总额报价的项目不可调整。</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合同中约定的风险范围：</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1）承包人自行踏勘后的现场施工条件；</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2）承包人的投标施工方案；</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3）工程量变化产生的前期费用及相应措施费；</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4）材料价格（暂定价材料除外）；</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5）采用新的验收标准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风险范围以外的内容：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1）设计变更引起的工程量增减、清单漏项；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2）发包人要求的承包范围以外的附加工程量；</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3）暂定价材料、暂定项目；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4）政策性调整费用包括人工工资调整、税率和税种变化；</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5）发包人确认的其它项目。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风险范围以外内容的结算原则：</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A、因发包人提出的设计变更部分，增加项目</w:t>
      </w:r>
      <w:r>
        <w:rPr>
          <w:rFonts w:hint="eastAsia" w:ascii="宋体" w:hAnsi="宋体" w:eastAsia="宋体" w:cs="宋体"/>
          <w:color w:val="auto"/>
          <w:sz w:val="24"/>
          <w:szCs w:val="24"/>
          <w:lang w:eastAsia="zh-CN"/>
        </w:rPr>
        <w:t xml:space="preserve">、清单漏项</w:t>
      </w:r>
      <w:r>
        <w:rPr>
          <w:rFonts w:hint="eastAsia" w:ascii="宋体" w:hAnsi="宋体" w:eastAsia="宋体" w:cs="宋体"/>
          <w:color w:val="auto"/>
          <w:sz w:val="24"/>
          <w:szCs w:val="24"/>
        </w:rPr>
        <w:t xml:space="preserve">及签证部分造成新增的工程量清单综合单价的结算原则为：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a.投标书中已有适用于变更工程的综合单价，按投标书中已有的综合单价结算；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投标书中有类似于变更工程的综合单价，按投标书中已有的类似的综合单价作相应调整后（如为材料价格调整，则材料价格确定由承包人提出，经监理人、发包人、跟踪审计市场询价调研后确定，确定后的材料价格结算时不让利）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c.投标书中无类似综合单价，结算原则为：工程量按实结算，单价依据《建设工程工程量清单计价规范》（GB50500-2013）、《江苏省市政工程计价定额》</w:t>
      </w:r>
      <w:r>
        <w:rPr>
          <w:rFonts w:hint="eastAsia" w:ascii="宋体" w:hAnsi="宋体" w:eastAsia="宋体" w:cs="宋体"/>
          <w:color w:val="auto"/>
          <w:sz w:val="24"/>
          <w:szCs w:val="24"/>
        </w:rPr>
        <w:t xml:space="preserve">（2014）、《江苏省建筑与装饰工程计价定额》（2014）《江苏省建设工程费用定额》（2014）等计价规范中的标准计算经审计后按中标下浮率同步下浮（其中材料价格取定按施工当期的常州市信息指导价格，信息价中没有的材料价格的确定由承包人提出，经监理人、发包人、跟踪审计市场询价调研后确定，确定后的材料价格结算时不让利）。根据上述要求编制综合单价报监理人，经监理人、发包人和跟踪审计共同确认。无法套用定额或不适合套用定额的，依据市场全费用单价（不再计取规费、税金及其他费用），经监理人、发包人和跟踪审计共同确认后执行。</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B、措施项目费的调整与结算办法：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①单价措施项目费的结算同分部分项工程的结算方式（仅指单价固定、工程量按实结算）。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②总价措施项目中以费率报价的，费率不变；总价项目中以费用报价的，按投标时口径折算成费率调整。 如投标费率超过招标人公布的控制价中相应费率的， 结算如发生工程量增加而需调增相应措施费时， 该费率按招标人公布的控制价中相应费率计取； 发生工程量减少而需调减相应措施费时，该费率按投标报价中相应费率计取。</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）中标下浮率=【标底价[扣除暂列金额]－中标价[扣除暂列金额]】/标底价[扣除暂列金额]</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所有涉及工程结算的签证单上必须有承包人（项目组）、监理工程师、发包人、跟踪审计等相关现场人员的签字和盖章，方可作为竣工结算的依据，签证单上必须明确签证的原因、位置、尺寸、数量、材料、人工、机械台班和签证时间，并附综合单价分析表。</w:t>
      </w:r>
      <w:r/>
    </w:p>
    <w:p>
      <w:pPr>
        <w:numPr>
          <w:ilvl w:val="0"/>
          <w:numId w:val="13"/>
        </w:num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 预付款</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12.2.1 </w:t>
      </w:r>
      <w:r>
        <w:rPr>
          <w:rFonts w:hint="eastAsia" w:ascii="宋体" w:hAnsi="宋体" w:eastAsia="宋体" w:cs="宋体"/>
          <w:sz w:val="24"/>
          <w:szCs w:val="24"/>
        </w:rPr>
        <w:t xml:space="preserve">预付款的支付</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预付款支付比例或金额：</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预付款支付期限：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预付款扣回的方式：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12.2.2 预付款担保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承包人提交预付款担保的期限：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预付款担保的形式为：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 计量</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12.3.1 </w:t>
      </w:r>
      <w:r>
        <w:rPr>
          <w:rFonts w:hint="eastAsia" w:ascii="宋体" w:hAnsi="宋体" w:eastAsia="宋体" w:cs="宋体"/>
          <w:sz w:val="24"/>
          <w:szCs w:val="24"/>
        </w:rPr>
        <w:t xml:space="preserve">计量原则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工程量计算规则</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12.3.2 </w:t>
      </w:r>
      <w:r>
        <w:rPr>
          <w:rFonts w:hint="eastAsia" w:ascii="宋体" w:hAnsi="宋体" w:eastAsia="宋体" w:cs="宋体"/>
          <w:sz w:val="24"/>
          <w:szCs w:val="24"/>
        </w:rPr>
        <w:t xml:space="preserve">计量周期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关于计量周期的约定：</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12.3.3 </w:t>
      </w:r>
      <w:r>
        <w:rPr>
          <w:rFonts w:hint="eastAsia" w:ascii="宋体" w:hAnsi="宋体" w:eastAsia="宋体" w:cs="宋体"/>
          <w:sz w:val="24"/>
          <w:szCs w:val="24"/>
        </w:rPr>
        <w:t xml:space="preserve">单价合同的计量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关于单价合同计量的约定：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12.3.4 </w:t>
      </w:r>
      <w:r>
        <w:rPr>
          <w:rFonts w:hint="eastAsia" w:ascii="宋体" w:hAnsi="宋体" w:eastAsia="宋体" w:cs="宋体"/>
          <w:sz w:val="24"/>
          <w:szCs w:val="24"/>
        </w:rPr>
        <w:t xml:space="preserve">总价合同的计量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关于总价合同计量的约定：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12.3.5 </w:t>
      </w:r>
      <w:r>
        <w:rPr>
          <w:rFonts w:hint="eastAsia" w:ascii="宋体" w:hAnsi="宋体" w:eastAsia="宋体" w:cs="宋体"/>
          <w:sz w:val="24"/>
          <w:szCs w:val="24"/>
        </w:rPr>
        <w:t xml:space="preserve">总价合同采用支付分解表计量支付的，是否适用第12.3.4 项〔总价合同的计量〕约定进行计量：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12.3.6 </w:t>
      </w:r>
      <w:r>
        <w:rPr>
          <w:rFonts w:hint="eastAsia" w:ascii="宋体" w:hAnsi="宋体" w:eastAsia="宋体" w:cs="宋体"/>
          <w:sz w:val="24"/>
          <w:szCs w:val="24"/>
        </w:rPr>
        <w:t xml:space="preserve">其他价格形式合同的计量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其他价格形式的计量方式和程序：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 工程进度款支付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12.4.1 付款周期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1)合同签订并发出开工令后，支付合同价款[扣除暂列金额(含规费及税金)]的30%作为预付款;</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2)工程量完成60%，支付合同价[扣除暂列金额(含规费及税金)</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的50%;</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3)工程完工并通过验收合格，付至审定价的97%;</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4)工程余款待保修期满后无息结清。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5)上述所有付款节点需按相关规定提交对应台账资料及发票</w:t>
      </w:r>
      <w:r/>
    </w:p>
    <w:p>
      <w:pPr>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关于进度付款申请单编制的约定：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12.4.3 </w:t>
      </w:r>
      <w:r>
        <w:rPr>
          <w:rFonts w:hint="eastAsia" w:ascii="宋体" w:hAnsi="宋体" w:eastAsia="宋体" w:cs="宋体"/>
          <w:b/>
          <w:sz w:val="24"/>
          <w:szCs w:val="24"/>
        </w:rPr>
        <w:t xml:space="preserve">进度付款申请单的提交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（3）其他价格形式合同进度付款申请单提交的约定：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12.4.4 </w:t>
      </w:r>
      <w:r>
        <w:rPr>
          <w:rFonts w:hint="eastAsia" w:ascii="宋体" w:hAnsi="宋体" w:eastAsia="宋体" w:cs="宋体"/>
          <w:sz w:val="24"/>
          <w:szCs w:val="24"/>
        </w:rPr>
        <w:t xml:space="preserve">进度款审核和支付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（1）监理人审查并报送发包人的期限：</w:t>
      </w:r>
      <w:r>
        <w:rPr>
          <w:rFonts w:hint="eastAsia" w:ascii="宋体" w:hAnsi="宋体" w:eastAsia="宋体" w:cs="宋体"/>
          <w:sz w:val="24"/>
          <w:szCs w:val="24"/>
          <w:u w:val="single"/>
        </w:rPr>
        <w:t xml:space="preserve">  7天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发包人完成审批并签发进度款支付证书的期限：</w:t>
      </w:r>
      <w:r>
        <w:rPr>
          <w:rFonts w:hint="eastAsia" w:ascii="宋体" w:hAnsi="宋体" w:eastAsia="宋体" w:cs="宋体"/>
          <w:sz w:val="24"/>
          <w:szCs w:val="24"/>
          <w:u w:val="single"/>
        </w:rPr>
        <w:t xml:space="preserve"> 7天</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（2）发包人支付进度款的期限：</w:t>
      </w:r>
      <w:r>
        <w:rPr>
          <w:rFonts w:hint="eastAsia" w:ascii="宋体" w:hAnsi="宋体" w:eastAsia="宋体" w:cs="宋体"/>
          <w:sz w:val="24"/>
          <w:szCs w:val="24"/>
          <w:u w:val="single"/>
        </w:rPr>
        <w:t xml:space="preserve"> 14天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发包人逾期支付进度款的违约金的计算方式：</w:t>
      </w:r>
      <w:r>
        <w:rPr>
          <w:rFonts w:hint="eastAsia" w:ascii="宋体" w:hAnsi="宋体" w:eastAsia="宋体" w:cs="宋体"/>
          <w:sz w:val="24"/>
          <w:szCs w:val="24"/>
          <w:u w:val="single"/>
        </w:rPr>
        <w:t xml:space="preserve">双方协商解决。</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12.4.6 </w:t>
      </w:r>
      <w:r>
        <w:rPr>
          <w:rFonts w:hint="eastAsia" w:ascii="宋体" w:hAnsi="宋体" w:eastAsia="宋体" w:cs="宋体"/>
          <w:sz w:val="24"/>
          <w:szCs w:val="24"/>
        </w:rPr>
        <w:t xml:space="preserve">支付分解表的编制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2、总价合同支付分解表的编制与审批：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3、单价合同的总价项目支付分解表的编制与审批：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13 验收和工程试车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13.1 分部分项工程验收</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13.1.2 </w:t>
      </w:r>
      <w:r>
        <w:rPr>
          <w:rFonts w:hint="eastAsia" w:ascii="宋体" w:hAnsi="宋体" w:eastAsia="宋体" w:cs="宋体"/>
          <w:sz w:val="24"/>
          <w:szCs w:val="24"/>
        </w:rPr>
        <w:t xml:space="preserve">监理人不能按时进行验收时，应提前</w:t>
      </w:r>
      <w:r>
        <w:rPr>
          <w:rFonts w:hint="eastAsia" w:ascii="宋体" w:hAnsi="宋体" w:eastAsia="宋体" w:cs="宋体"/>
          <w:sz w:val="24"/>
          <w:szCs w:val="24"/>
          <w:u w:val="single"/>
        </w:rPr>
        <w:t xml:space="preserve">  48小时 </w:t>
      </w:r>
      <w:r>
        <w:rPr>
          <w:rFonts w:hint="eastAsia" w:ascii="宋体" w:hAnsi="宋体" w:eastAsia="宋体" w:cs="宋体"/>
          <w:sz w:val="24"/>
          <w:szCs w:val="24"/>
        </w:rPr>
        <w:t xml:space="preserve">小时提交书面延期要求。</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 竣工验收</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13.2.2 </w:t>
      </w:r>
      <w:r>
        <w:rPr>
          <w:rFonts w:hint="eastAsia" w:ascii="宋体" w:hAnsi="宋体" w:eastAsia="宋体" w:cs="宋体"/>
          <w:sz w:val="24"/>
          <w:szCs w:val="24"/>
        </w:rPr>
        <w:t xml:space="preserve">竣工验收程序</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关于竣工验收程序的约定：</w:t>
      </w:r>
      <w:r>
        <w:rPr>
          <w:rFonts w:hint="eastAsia" w:ascii="宋体" w:hAnsi="宋体" w:eastAsia="宋体" w:cs="宋体"/>
          <w:b/>
          <w:sz w:val="24"/>
          <w:szCs w:val="24"/>
          <w:u w:val="single"/>
        </w:rPr>
        <w:t xml:space="preserve">项目达到竣工验收条件时，承包人应向监理单位申报预验，预验收合格后，由承包人向发包人提交竣工验收申请及本项目所有建设资料，发包人组织上级相关部门、设计、监理等有关人员进行现场验收并签署验收意见。</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发包人不按照本项约定组织竣工验收、颁发工程接收证书的违约金的计算方法：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13.2.5 </w:t>
      </w:r>
      <w:r>
        <w:rPr>
          <w:rFonts w:hint="eastAsia" w:ascii="宋体" w:hAnsi="宋体" w:eastAsia="宋体" w:cs="宋体"/>
          <w:sz w:val="24"/>
          <w:szCs w:val="24"/>
        </w:rPr>
        <w:t xml:space="preserve">移交、接收全部与部分工程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承包人向发包人移交工程的期限：</w:t>
      </w:r>
      <w:r>
        <w:rPr>
          <w:rFonts w:hint="eastAsia" w:ascii="宋体" w:hAnsi="宋体" w:eastAsia="宋体" w:cs="宋体"/>
          <w:sz w:val="24"/>
          <w:szCs w:val="24"/>
          <w:u w:val="single"/>
        </w:rPr>
        <w:t xml:space="preserve">  按规定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发包人未按本合同约定接收全部或部分工程的，违约金的计算方法为：</w:t>
      </w:r>
      <w:r>
        <w:rPr>
          <w:rFonts w:hint="eastAsia" w:ascii="宋体" w:hAnsi="宋体" w:eastAsia="宋体" w:cs="宋体"/>
          <w:sz w:val="24"/>
          <w:szCs w:val="24"/>
          <w:u w:val="single"/>
        </w:rPr>
        <w:t xml:space="preserve"> 另行协商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承包人未按时移交工程的，违约金的计算方法为：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 工程试车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13.3.1 </w:t>
      </w:r>
      <w:r>
        <w:rPr>
          <w:rFonts w:hint="eastAsia" w:ascii="宋体" w:hAnsi="宋体" w:eastAsia="宋体" w:cs="宋体"/>
          <w:sz w:val="24"/>
          <w:szCs w:val="24"/>
        </w:rPr>
        <w:t xml:space="preserve">试车程序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工程试车内容：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单机无负荷试车费用由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无负荷联动试车费用由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13.3.3 </w:t>
      </w:r>
      <w:r>
        <w:rPr>
          <w:rFonts w:hint="eastAsia" w:ascii="宋体" w:hAnsi="宋体" w:eastAsia="宋体" w:cs="宋体"/>
          <w:sz w:val="24"/>
          <w:szCs w:val="24"/>
        </w:rPr>
        <w:t xml:space="preserve">投料试车</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关于投料试车相关事项的约定：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13.6 竣工退场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13.6.1 </w:t>
      </w:r>
      <w:r>
        <w:rPr>
          <w:rFonts w:hint="eastAsia" w:ascii="宋体" w:hAnsi="宋体" w:eastAsia="宋体" w:cs="宋体"/>
          <w:sz w:val="24"/>
          <w:szCs w:val="24"/>
        </w:rPr>
        <w:t xml:space="preserve">竣工退场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承包人完成竣工退场的期限：</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14 竣工结算</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14.1 竣工付款申请</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承包人提交竣工付款申请单的期限：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竣工付款申请单应包括的内容：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14.2 竣工结算审核</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关于竣工付款证书异议部分复核的方式和程序：</w:t>
      </w:r>
      <w:r>
        <w:rPr>
          <w:rFonts w:hint="eastAsia" w:ascii="宋体" w:hAnsi="宋体" w:eastAsia="宋体" w:cs="宋体"/>
          <w:sz w:val="24"/>
          <w:szCs w:val="24"/>
          <w:u w:val="single"/>
        </w:rPr>
        <w:t xml:space="preserve">  双方另行协商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 最终结清</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14.4.1 </w:t>
      </w:r>
      <w:r>
        <w:rPr>
          <w:rFonts w:hint="eastAsia" w:ascii="宋体" w:hAnsi="宋体" w:eastAsia="宋体" w:cs="宋体"/>
          <w:sz w:val="24"/>
          <w:szCs w:val="24"/>
        </w:rPr>
        <w:t xml:space="preserve">最终结清申请单</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14.4.2 </w:t>
      </w:r>
      <w:r>
        <w:rPr>
          <w:rFonts w:hint="eastAsia" w:ascii="宋体" w:hAnsi="宋体" w:eastAsia="宋体" w:cs="宋体"/>
          <w:sz w:val="24"/>
          <w:szCs w:val="24"/>
        </w:rPr>
        <w:t xml:space="preserve">最终结清证书和支付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发包人完成最终结清申请单的审批并颁发最终结清证书的期限：</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发包人完成支付的期限：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15 缺陷责任期与保修</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15.2 缺陷责任期</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缺陷责任期的具体期限：</w:t>
      </w:r>
      <w:r>
        <w:rPr>
          <w:rFonts w:hint="eastAsia" w:ascii="宋体" w:hAnsi="宋体" w:eastAsia="宋体" w:cs="宋体"/>
          <w:sz w:val="24"/>
          <w:szCs w:val="24"/>
          <w:u w:val="single"/>
        </w:rPr>
        <w:t xml:space="preserve">     2</w:t>
      </w:r>
      <w:r>
        <w:rPr>
          <w:rFonts w:hint="eastAsia" w:ascii="宋体" w:hAnsi="宋体" w:cs="宋体"/>
          <w:sz w:val="24"/>
          <w:szCs w:val="24"/>
          <w:u w:val="single"/>
          <w:lang w:eastAsia="zh-CN"/>
        </w:rPr>
        <w:t xml:space="preserve">90日历天</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 质量保证金</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关于是否扣留质量保证金的约定：</w:t>
      </w:r>
      <w:r>
        <w:rPr>
          <w:rFonts w:hint="eastAsia" w:ascii="宋体" w:hAnsi="宋体" w:eastAsia="宋体" w:cs="宋体"/>
          <w:b/>
          <w:sz w:val="24"/>
          <w:szCs w:val="24"/>
          <w:u w:val="single"/>
        </w:rPr>
        <w:t xml:space="preserve">按</w:t>
      </w:r>
      <w:r>
        <w:rPr>
          <w:rFonts w:hint="eastAsia" w:ascii="宋体" w:hAnsi="宋体" w:eastAsia="宋体" w:cs="宋体"/>
          <w:b/>
          <w:color w:val="000000"/>
          <w:sz w:val="24"/>
          <w:szCs w:val="24"/>
          <w:u w:val="single"/>
        </w:rPr>
        <w:t xml:space="preserve">建质[2017]138号文</w:t>
      </w:r>
      <w:r>
        <w:rPr>
          <w:rFonts w:hint="eastAsia" w:ascii="宋体" w:hAnsi="宋体" w:eastAsia="宋体" w:cs="宋体"/>
          <w:b/>
          <w:sz w:val="24"/>
          <w:szCs w:val="24"/>
          <w:u w:val="single"/>
        </w:rPr>
        <w:t xml:space="preserve">执行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15.3.1 </w:t>
      </w:r>
      <w:r>
        <w:rPr>
          <w:rFonts w:hint="eastAsia" w:ascii="宋体" w:hAnsi="宋体" w:eastAsia="宋体" w:cs="宋体"/>
          <w:sz w:val="24"/>
          <w:szCs w:val="24"/>
        </w:rPr>
        <w:t xml:space="preserve">承包人提供质量保证金的方式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质量保证金采用以下第</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种方式：</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（1）质量保证金保函，保证金额为：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%的工程款；</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（3）其他方式：</w:t>
      </w:r>
      <w:r>
        <w:rPr>
          <w:rFonts w:hint="eastAsia" w:ascii="宋体" w:hAnsi="宋体" w:eastAsia="宋体" w:cs="宋体"/>
          <w:sz w:val="24"/>
          <w:szCs w:val="24"/>
          <w:u w:val="single"/>
        </w:rPr>
        <w:t xml:space="preserve">    结算审定价的3%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15.3.2 </w:t>
      </w:r>
      <w:r>
        <w:rPr>
          <w:rFonts w:hint="eastAsia" w:ascii="宋体" w:hAnsi="宋体" w:eastAsia="宋体" w:cs="宋体"/>
          <w:sz w:val="24"/>
          <w:szCs w:val="24"/>
        </w:rPr>
        <w:t xml:space="preserve">质量保证金的扣留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质量保证金的扣留采取以下第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w:t>
      </w:r>
      <w:r>
        <w:rPr>
          <w:rFonts w:hint="eastAsia" w:ascii="宋体" w:hAnsi="宋体" w:eastAsia="宋体" w:cs="宋体"/>
          <w:b/>
          <w:bCs/>
          <w:vanish/>
          <w:sz w:val="24"/>
          <w:szCs w:val="24"/>
        </w:rPr>
      </w:r>
      <w:r/>
    </w:p>
    <w:p>
      <w:pPr>
        <w:ind w:firstLine="1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(1)在支付工程进度款时逐次扣留，在此情形下，质量保证金的计算基数不包括预付款的支付、扣回以及价格调整的金额；</w:t>
      </w:r>
      <w:r/>
    </w:p>
    <w:p>
      <w:pPr>
        <w:ind w:firstLine="1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(2)工程竣工结算时一次性扣留质量保证金；</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（3）其他扣留方式：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关于质量保证金的补充约定：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 保修</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15.4.1 </w:t>
      </w:r>
      <w:r>
        <w:rPr>
          <w:rFonts w:hint="eastAsia" w:ascii="宋体" w:hAnsi="宋体" w:eastAsia="宋体" w:cs="宋体"/>
          <w:sz w:val="24"/>
          <w:szCs w:val="24"/>
        </w:rPr>
        <w:t xml:space="preserve">保修责任</w:t>
      </w:r>
      <w:r/>
    </w:p>
    <w:p>
      <w:pPr>
        <w:ind w:firstLine="420"/>
        <w:pageBreakBefore w:val="0"/>
        <w:spacing w:line="360" w:lineRule="auto"/>
        <w:rPr>
          <w:rFonts w:hint="eastAsia" w:ascii="宋体" w:hAnsi="宋体" w:eastAsia="宋体" w:cs="宋体"/>
          <w:b/>
          <w:bCs/>
          <w:sz w:val="24"/>
          <w:szCs w:val="24"/>
          <w:u w:val="single"/>
        </w:rPr>
      </w:pPr>
      <w:r>
        <w:rPr>
          <w:rFonts w:hint="eastAsia" w:ascii="宋体" w:hAnsi="宋体" w:eastAsia="宋体" w:cs="宋体"/>
          <w:sz w:val="24"/>
          <w:szCs w:val="24"/>
        </w:rPr>
        <w:t xml:space="preserve">工程保修期为：</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本工程质量保修期二年。</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15.4.3 </w:t>
      </w:r>
      <w:r>
        <w:rPr>
          <w:rFonts w:hint="eastAsia" w:ascii="宋体" w:hAnsi="宋体" w:eastAsia="宋体" w:cs="宋体"/>
          <w:sz w:val="24"/>
          <w:szCs w:val="24"/>
        </w:rPr>
        <w:t xml:space="preserve">修复通知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承包人收到保修通知并到达工程现场的合理时间：</w:t>
      </w:r>
      <w:r>
        <w:rPr>
          <w:rFonts w:hint="eastAsia" w:ascii="宋体" w:hAnsi="宋体" w:eastAsia="宋体" w:cs="宋体"/>
          <w:sz w:val="24"/>
          <w:szCs w:val="24"/>
          <w:u w:val="single"/>
        </w:rPr>
        <w:t xml:space="preserve">   24小时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16 违约</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16.1 发包人违约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16.1.1 </w:t>
      </w:r>
      <w:r>
        <w:rPr>
          <w:rFonts w:hint="eastAsia" w:ascii="宋体" w:hAnsi="宋体" w:eastAsia="宋体" w:cs="宋体"/>
          <w:sz w:val="24"/>
          <w:szCs w:val="24"/>
        </w:rPr>
        <w:t xml:space="preserve">发包人违约的情形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发包人违约的其他情形：</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16.1.2 </w:t>
      </w:r>
      <w:r>
        <w:rPr>
          <w:rFonts w:hint="eastAsia" w:ascii="宋体" w:hAnsi="宋体" w:eastAsia="宋体" w:cs="宋体"/>
          <w:sz w:val="24"/>
          <w:szCs w:val="24"/>
        </w:rPr>
        <w:t xml:space="preserve">发包人违约的责任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发包人违约责任的承担方式和计算方法：</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（1）因发包人原因未能在计划开工日期前7天内下达开工通知的违约责任：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（2）因发包人原因未能按合同约定支付合同价款的违约责任：</w:t>
      </w:r>
      <w:r>
        <w:rPr>
          <w:rFonts w:hint="eastAsia" w:ascii="宋体" w:hAnsi="宋体" w:eastAsia="宋体" w:cs="宋体"/>
          <w:sz w:val="24"/>
          <w:szCs w:val="24"/>
          <w:u w:val="single"/>
        </w:rPr>
        <w:t xml:space="preserve">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（3）发包人违反第10.1款[变更的范围]第（2）项约定，自行实施被取消的工作或转由他人实施的违约责任：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（5）因发包人违反合同约定造成暂停施工的违约责任：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（6）发包人无正当理由没有在约定期限内发出复工指示，导致承包人无法复工的违约责任：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16.1.3 因发包人违约解除合同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承包人按16.1.1项[发包人违约的情形]约定暂定施工满</w:t>
      </w:r>
      <w:r>
        <w:rPr>
          <w:rFonts w:hint="eastAsia" w:ascii="宋体" w:hAnsi="宋体" w:eastAsia="宋体" w:cs="宋体"/>
          <w:sz w:val="24"/>
          <w:szCs w:val="24"/>
          <w:u w:val="single"/>
        </w:rPr>
        <w:t xml:space="preserve">  90   </w:t>
      </w:r>
      <w:r>
        <w:rPr>
          <w:rFonts w:hint="eastAsia" w:ascii="宋体" w:hAnsi="宋体" w:eastAsia="宋体" w:cs="宋体"/>
          <w:sz w:val="24"/>
          <w:szCs w:val="24"/>
        </w:rPr>
        <w:t xml:space="preserve">天后发包人仍不纠正其违约行为并致使合同目的不能实现的，承包人有权解除合同。</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 承包人违约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16.2.1 </w:t>
      </w:r>
      <w:r>
        <w:rPr>
          <w:rFonts w:hint="eastAsia" w:ascii="宋体" w:hAnsi="宋体" w:eastAsia="宋体" w:cs="宋体"/>
          <w:sz w:val="24"/>
          <w:szCs w:val="24"/>
        </w:rPr>
        <w:t xml:space="preserve">承包人违约的情形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承包人违约的其他情形：</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（1）工期延误：由承包人因自身原因未能在承诺工期内完成招标范围内的全部工程内容，逾期业主将按现金2000元/天处罚。</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（2）合同履行过程中，承包人由于资金问题发生中途停工，则发包人有权终止施工合同，除没收承包人履约保证金外，承包人还应承担由此造成的经济损失。</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在施工合同履行过程中，承包人必须保证施工人员的工资及时发放，如发生拖欠工资情况且情节特别严重的（恶意拖欠），发包人有权终止合同，除没收承包人履约保证金外，承包人还应承担由此造成的经济损失。发包人有权将承包人的剩余工程款用于代为支付农民工工资。</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（4）在施工合同履约过程中，承包人必须严格落实安全措施，设立专职安全员，消除施工过程中的可能存在的安全隐患，如造成安全事故均由承包人负责。</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5）承包人必须严格按照设计方案、招标文件工程量清单内容、相关规范及技术要求组织施工，若承包人未经发包人书面同意擅自扩大施工范围，造成工程量增加及工程总价增加，发包人有权终止施工合同并有权拒付所有工程款，除没收承包人履约保证金外，承包人还应承担由此造成的经济损失。</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16.2.2 </w:t>
      </w:r>
      <w:r>
        <w:rPr>
          <w:rFonts w:hint="eastAsia" w:ascii="宋体" w:hAnsi="宋体" w:eastAsia="宋体" w:cs="宋体"/>
          <w:sz w:val="24"/>
          <w:szCs w:val="24"/>
        </w:rPr>
        <w:t xml:space="preserve">承包人违约的责任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承包人违约责任的承担方式和计算方法：</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16.2.3 </w:t>
      </w:r>
      <w:r>
        <w:rPr>
          <w:rFonts w:hint="eastAsia" w:ascii="宋体" w:hAnsi="宋体" w:eastAsia="宋体" w:cs="宋体"/>
          <w:sz w:val="24"/>
          <w:szCs w:val="24"/>
        </w:rPr>
        <w:t xml:space="preserve">因承包人违约解除合同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关于承包人违约解除合同的特别约定：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rPr>
        <w:t xml:space="preserve"> 双方协商解决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17 不可抗力</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17.1 不可抗力的确认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除通用合同条款约定的不可抗力事件之外，视为不可抗力的其他情形：</w:t>
      </w:r>
      <w:r>
        <w:rPr>
          <w:rFonts w:hint="eastAsia" w:ascii="宋体" w:hAnsi="宋体" w:eastAsia="宋体" w:cs="宋体"/>
          <w:sz w:val="24"/>
          <w:szCs w:val="24"/>
          <w:u w:val="single"/>
        </w:rPr>
        <w:t xml:space="preserve">  按规定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17.4 因不可抗力解除合同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合同解除后，发包人应在商定或确定发包人应支付款项后</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天内完成款项的支付。</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18 保险</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18.1 工程保险</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关于工程保险的特别约定：</w:t>
      </w:r>
      <w:r>
        <w:rPr>
          <w:rFonts w:hint="eastAsia" w:ascii="宋体" w:hAnsi="宋体" w:eastAsia="宋体" w:cs="宋体"/>
          <w:sz w:val="24"/>
          <w:szCs w:val="24"/>
          <w:u w:val="single"/>
        </w:rPr>
        <w:t xml:space="preserve">  投保建筑工程团体人身意外险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18.3 其他保险</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关于其他保险的约定：</w:t>
      </w:r>
      <w:r>
        <w:rPr>
          <w:rFonts w:hint="eastAsia" w:ascii="宋体" w:hAnsi="宋体" w:eastAsia="宋体" w:cs="宋体"/>
          <w:sz w:val="24"/>
          <w:szCs w:val="24"/>
          <w:u w:val="single"/>
        </w:rPr>
        <w:t xml:space="preserve">       按文件规定执行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承包人是否应为其施工设备等办理财产保险：</w:t>
      </w:r>
      <w:r>
        <w:rPr>
          <w:rFonts w:hint="eastAsia" w:ascii="宋体" w:hAnsi="宋体" w:eastAsia="宋体" w:cs="宋体"/>
          <w:sz w:val="24"/>
          <w:szCs w:val="24"/>
          <w:u w:val="single"/>
        </w:rPr>
        <w:t xml:space="preserve"> 按文件规定执行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18.7 通知义务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关于变更保险合同时的通知义务的约定：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20 争议解决</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 争议评审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合同当事人是否同意将工程争议提交争议评审小组决定：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20.3.1 </w:t>
      </w:r>
      <w:r>
        <w:rPr>
          <w:rFonts w:hint="eastAsia" w:ascii="宋体" w:hAnsi="宋体" w:eastAsia="宋体" w:cs="宋体"/>
          <w:sz w:val="24"/>
          <w:szCs w:val="24"/>
        </w:rPr>
        <w:t xml:space="preserve">争议评审小组的确定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争议评审小组成员的确定：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选定争议评审员的期限：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争议评审小组成员的报酬承担方式：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其他事项的约定：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20.3.2 </w:t>
      </w:r>
      <w:r>
        <w:rPr>
          <w:rFonts w:hint="eastAsia" w:ascii="宋体" w:hAnsi="宋体" w:eastAsia="宋体" w:cs="宋体"/>
          <w:sz w:val="24"/>
          <w:szCs w:val="24"/>
        </w:rPr>
        <w:t xml:space="preserve">争议评审小组的决定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合同当事人关于本项的约定：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20.4 仲裁或诉讼</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因合同及合同有关事项发生的争议，按下列第</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种方式解决：</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w:t>
      </w:r>
      <w:r>
        <w:rPr>
          <w:rFonts w:hint="eastAsia" w:ascii="宋体" w:hAnsi="宋体" w:eastAsia="宋体" w:cs="宋体"/>
          <w:sz w:val="24"/>
          <w:szCs w:val="24"/>
          <w:u w:val="single"/>
        </w:rPr>
        <w:t xml:space="preserve">  溧阳市  </w:t>
      </w:r>
      <w:r>
        <w:rPr>
          <w:rFonts w:hint="eastAsia" w:ascii="宋体" w:hAnsi="宋体" w:eastAsia="宋体" w:cs="宋体"/>
          <w:sz w:val="24"/>
          <w:szCs w:val="24"/>
        </w:rPr>
        <w:t xml:space="preserve">仲裁委员会申请仲裁；</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w:t>
      </w:r>
      <w:r>
        <w:rPr>
          <w:rFonts w:hint="eastAsia" w:ascii="宋体" w:hAnsi="宋体" w:eastAsia="宋体" w:cs="宋体"/>
          <w:sz w:val="24"/>
          <w:szCs w:val="24"/>
          <w:u w:val="single"/>
        </w:rPr>
        <w:t xml:space="preserve">   溧阳市  </w:t>
      </w:r>
      <w:r>
        <w:rPr>
          <w:rFonts w:hint="eastAsia" w:ascii="宋体" w:hAnsi="宋体" w:eastAsia="宋体" w:cs="宋体"/>
          <w:sz w:val="24"/>
          <w:szCs w:val="24"/>
        </w:rPr>
        <w:t xml:space="preserve">人民法院起诉。</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 补充条款</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（1）承包人应根据设计方案、国家标准及施工规范要求的检验项目进行检验，对检验中发生材料质量问题的材料检验费用由承包人承担。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（2）施工中产生的土严禁外运，一经发现，将按镇区相关规定处理并每次罚款5万元，情况严重者，按上级部门相关规定追究刑事责任。同时发包人有权终止施工合同，没收承包人合同履约保证金。</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（3）工程量的签证均须得到发包人、监理、第三方测量机构等部门的认可。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（4）本工程的</w:t>
      </w:r>
      <w:r>
        <w:rPr>
          <w:rFonts w:hint="eastAsia" w:ascii="宋体" w:hAnsi="宋体" w:eastAsia="宋体" w:cs="宋体"/>
          <w:sz w:val="24"/>
          <w:szCs w:val="24"/>
          <w:lang w:val="en-US" w:eastAsia="zh-CN"/>
        </w:rPr>
        <w:t xml:space="preserve">结</w:t>
      </w:r>
      <w:r>
        <w:rPr>
          <w:rFonts w:hint="eastAsia" w:ascii="宋体" w:hAnsi="宋体" w:eastAsia="宋体" w:cs="宋体"/>
          <w:sz w:val="24"/>
          <w:szCs w:val="24"/>
        </w:rPr>
        <w:t xml:space="preserve">算最终审定核减额超过送审价10%的，审计费用由施工单位全部承担，并由施工单位直接支付给审计单位。</w:t>
      </w:r>
      <w:r/>
    </w:p>
    <w:p>
      <w:pPr>
        <w:ind w:right="0" w:firstLine="480"/>
        <w:keepLines w:val="0"/>
        <w:keepNext w:val="0"/>
        <w:pageBreakBefore w:val="0"/>
        <w:spacing w:line="360" w:lineRule="auto"/>
        <w:widowControl/>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如果中标单位拖欠农民工工资，经查确认为事实后发包人将中标单位拖欠农民工工资的金额直接支付至农民工手中，支付的金额发包人在工程款中扣除；并且发包人将对乙方按拖欠金额的50%进行罚款</w:t>
      </w:r>
      <w:r>
        <w:rPr>
          <w:rFonts w:hint="eastAsia" w:ascii="宋体" w:hAnsi="宋体" w:eastAsia="宋体" w:cs="宋体"/>
          <w:sz w:val="24"/>
          <w:szCs w:val="24"/>
          <w:lang w:eastAsia="zh-CN"/>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21.1</w:t>
      </w:r>
      <w:r>
        <w:rPr>
          <w:rFonts w:hint="eastAsia" w:ascii="宋体" w:hAnsi="宋体" w:eastAsia="宋体" w:cs="宋体"/>
          <w:sz w:val="24"/>
          <w:szCs w:val="24"/>
        </w:rPr>
        <w:t xml:space="preserve">分包和转包：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本工程不允许非法转包、违法分包。对于专业分包项目必须经发包人同意分包给具备相应资质要求的单位。</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21.2</w:t>
      </w:r>
      <w:r>
        <w:rPr>
          <w:rFonts w:hint="eastAsia" w:ascii="宋体" w:hAnsi="宋体" w:eastAsia="宋体" w:cs="宋体"/>
          <w:sz w:val="24"/>
          <w:szCs w:val="24"/>
        </w:rPr>
        <w:t xml:space="preserve">安全施工：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施工期间承包人应加强施工管理，防止安全事故发生，如发生施工安全事故，所产生的责任和经济损失由承包人承担。</w:t>
      </w:r>
      <w:r>
        <w:rPr>
          <w:rFonts w:hint="eastAsia" w:ascii="宋体" w:hAnsi="宋体" w:eastAsia="宋体" w:cs="宋体"/>
          <w:sz w:val="24"/>
          <w:szCs w:val="24"/>
        </w:rPr>
        <w:br w:type="page" w:clear="all"/>
      </w:r>
      <w:r/>
    </w:p>
    <w:p>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p>
    <w:p>
      <w:pPr>
        <w:jc w:val="cente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工程保修书</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发包人(全称):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p>
    <w:p>
      <w:pPr>
        <w:ind w:firstLine="420"/>
        <w:pageBreakBefore w:val="0"/>
        <w:spacing w:line="360" w:lineRule="auto"/>
        <w:rPr>
          <w:rFonts w:hint="default" w:ascii="宋体" w:hAnsi="宋体" w:eastAsia="宋体" w:cs="宋体"/>
          <w:sz w:val="24"/>
          <w:szCs w:val="24"/>
          <w:u w:val="single"/>
          <w:lang w:val="en-US"/>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lang w:val="en-US" w:eastAsia="zh-CN"/>
        </w:rPr>
        <w:t xml:space="preserve">                      </w:t>
      </w:r>
      <w:r/>
    </w:p>
    <w:p>
      <w:pPr>
        <w:ind w:firstLine="42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为保证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（工程名称）在合理使用期限内正常使用，发包人承包人协商一致签订工程质量保修书。</w:t>
      </w:r>
      <w:r/>
    </w:p>
    <w:p>
      <w:pPr>
        <w:ind w:firstLine="348"/>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一、工程质量保修范围和内容</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承包人在质量保修期内按照有关管理规定及双方约定承担工程质量保修责任。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质量保修范围包括地基基础工程、主体结构工程、屋面防水工程和双方约定的其他土建工程，以及电气管线、上下水管线的安装工程等项目。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具体质量保修内容双方约定如下：</w:t>
      </w:r>
      <w:r>
        <w:rPr>
          <w:rFonts w:hint="eastAsia" w:ascii="宋体" w:hAnsi="宋体" w:eastAsia="宋体" w:cs="宋体"/>
          <w:sz w:val="24"/>
          <w:szCs w:val="24"/>
          <w:u w:val="single"/>
        </w:rPr>
        <w:t xml:space="preserve"> 按《建筑工程质量管理条例》的规定执行。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二、质量保修期</w:t>
      </w:r>
      <w:r/>
    </w:p>
    <w:p>
      <w:pPr>
        <w:ind w:left="480"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质量保修期从工程实际竣工之日算起。分单项竣工验收的工程，按单项工程分别计算质量保修期。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双方根据国家有关规定，结合具体工程约定质量保修期如下：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1.地基基础工程和主体结构工程为设计文件规定的该工程合理使用年限；</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2.屋面防水工程、有防水要求的卫生间、房间和外墙面的防渗漏为</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3.装修工程为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4.电气管线、给排水管道、设备安装工程为</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5.供热与供冷系统为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个采暖期、供冷期；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6.住宅小区内的给排水设施、道路等配套工程为</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7.其他项目保修期限约定如下：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三、质量保修责任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1、属于保修范围和内容的项目，承包人应在接到修理通知之日后7天内派人修理。承包人不在约定期限内，派人修理，发包人可委托其他人员修理，保修费用从质量保修金内扣除。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2、发生须紧急抢修事故(如上水跑水、漏水等)，承包人接到事故通知后，应立即到达事故现场抢修。非承包人施工质量引起的事故，抢修费用由发包人承担。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四、质量保修金的支付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本工程约定的工程质量保修金为审计后总工程价款的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五、质量保修金的返还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发包人在质量保修期满后14天内，将剩余保修金（不计利息）返还承包人。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六、其他</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双方约定的其他工程质量保修事项：</w:t>
      </w:r>
      <w:r>
        <w:rPr>
          <w:rFonts w:hint="eastAsia" w:ascii="宋体" w:hAnsi="宋体" w:eastAsia="宋体" w:cs="宋体"/>
          <w:sz w:val="24"/>
          <w:szCs w:val="24"/>
          <w:u w:val="single"/>
        </w:rPr>
        <w:t xml:space="preserve">  本工程质保期为两年，质保金待二年质保期满经复验合格后一次性付清（不计息）。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本工程质量保修书作为施工合同附件，由施工合同发包人承包人双方共同签署。</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  包  人(公章)：                     承  包  人(公章)：</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                     法定代表人(签字)：</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委托代表人(签字)：                      委托代表人(签字)：</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b/>
          <w:sz w:val="24"/>
          <w:szCs w:val="24"/>
        </w:rPr>
        <w:sectPr>
          <w:footerReference w:type="default" r:id="rId20"/>
          <w:footerReference w:type="even" r:id="rId21"/>
          <w:footerReference w:type="first" r:id="rId22"/>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p>
    <w:p>
      <w:pPr>
        <w:ind w:firstLine="645"/>
        <w:jc w:val="center"/>
        <w:pageBreakBefore w:val="0"/>
        <w:spacing w:line="360" w:lineRule="auto"/>
        <w:tabs>
          <w:tab w:val="left" w:pos="640" w:leader="none"/>
        </w:tabs>
        <w:rPr>
          <w:rFonts w:hint="eastAsia" w:ascii="宋体" w:hAnsi="宋体" w:eastAsia="宋体" w:cs="宋体"/>
          <w:b/>
          <w:sz w:val="24"/>
          <w:szCs w:val="24"/>
        </w:rPr>
      </w:pPr>
      <w:r>
        <w:rPr>
          <w:rFonts w:hint="eastAsia" w:ascii="宋体" w:hAnsi="宋体" w:eastAsia="宋体" w:cs="宋体"/>
          <w:b/>
          <w:sz w:val="24"/>
          <w:szCs w:val="24"/>
        </w:rPr>
        <w:t xml:space="preserve">建设工程廉政责任书</w:t>
      </w:r>
      <w:r/>
    </w:p>
    <w:p>
      <w:pPr>
        <w:ind w:firstLine="560"/>
        <w:pageBreakBefore w:val="0"/>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发包人：</w:t>
      </w:r>
      <w:r>
        <w:rPr>
          <w:rFonts w:hint="eastAsia" w:ascii="宋体" w:hAnsi="宋体" w:eastAsia="宋体" w:cs="宋体"/>
          <w:sz w:val="24"/>
          <w:szCs w:val="24"/>
          <w:u w:val="single"/>
          <w:lang w:val="en-US" w:eastAsia="zh-CN"/>
        </w:rPr>
        <w:t xml:space="preserve">                    </w:t>
      </w:r>
      <w:r/>
    </w:p>
    <w:p>
      <w:pPr>
        <w:ind w:firstLine="560"/>
        <w:pageBreakBefore w:val="0"/>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承包人：</w:t>
      </w:r>
      <w:r>
        <w:rPr>
          <w:rFonts w:hint="eastAsia" w:ascii="宋体" w:hAnsi="宋体" w:eastAsia="宋体" w:cs="宋体"/>
          <w:sz w:val="24"/>
          <w:szCs w:val="24"/>
          <w:u w:val="single"/>
          <w:lang w:val="en-US" w:eastAsia="zh-CN"/>
        </w:rPr>
        <w:t xml:space="preserve">                    </w:t>
      </w:r>
      <w:r/>
    </w:p>
    <w:p>
      <w:pPr>
        <w:ind w:firstLine="5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一、双方的责任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1.1应严格遵守国家关于市场准入、项目招标投标、工程建设、施工安装和市场活动等有关法律、法规、相关政策、以及廉政建设的各项规定。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1.2严格执行建设工程项目承发包合同文件，自觉按合同办事。</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各项活动必须坚持公开、公平、公正、诚信、透明的原则（除法律法规另有规定者外），不得为获取不正当的利益，损害国家、集体和对方利益，不得违反工程建设管理、施工安装的规章制度。</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1.4发现对方在业务活动中有违规、违纪、违法行为的，应及时提醒对方，情节严重的，应向其上级主管部门或纪检监察、司法等有关机关举报。</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二、发包人责任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发包人的领导和从事该建设工程项目的工作人员，在工程建设的事前、事中、事后应遵守以下规定：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2.1不得向承包人和相关单位索要或接受回扣、礼金、有价证券、贵重物品和好处费、感谢费等。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2.2不得在承包人和相关单位报销任何应由发包人或个人支付的费用。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2.3不得要求、暗示或接受承包人和相关单位为个人装修住房、婚丧嫁娶、配偶子女的工作安排以及出国（境）、旅游等提供方便。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2.4不得参加有可能影响公正执行公务的承包人和相关单位的宴请和健身、娱乐等活动。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三、承包人责任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应与发包人保持正常的业务交往，按照有关法律法规和程序开展业务工作，严格执行工程建设的有关方针、政策，尤其是有关建筑施工安装的强制性标准和规范，并遵守以下规定：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3.1不得以任何理由向发包人、相关单位及其工作人员索要、接受或赠送礼金、有价证券、贵重物品及回扣、好处费、感谢费等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3.2不得以任何理由为发包人和相关单位报销应由对方或个人支付的费用。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3.3不得接受或暗示为发包人、相关单位或个人装修住房、婚丧嫁娶、配偶子女的工作安排以及出国（境）、旅游等提供方便。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3.4不得以任何理由为发包人、相关单位或个人组织有可能影响公正执行公务的宴请、健身、娱乐等活动。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四、违约责任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4.1发包人工作人员有违反本责任书第一、二条责任行为的，按照管理权限。依据有关法律法规和规定给予党纪、政纪处分或组织处理；涉嫌犯罪的，移交司法机关追究刑事责任；给承包人单位造成经济损失的，应予以赔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4.2承包人工作人员有违反责任书第一、三条责任行为的，按照管理权限，依据有关法律法规和规定给予党纪、政纪处分或组织处理；涉嫌犯罪的，移交司法机关追究刑事责任；给发包人单位造成经济损失的，应予以赔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五、责任书的有效期</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本责任书的有效期为双方签署之日起至该工程项目竣工验收合格时止。</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六、责任书份数</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本责任书一式二份，发包人承包人各执一份，具有同等效力。</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     承包人单位：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     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地址：</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电话：</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875"/>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75"/>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p>
    <w:p>
      <w:pPr>
        <w:jc w:val="cente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安全生产合同</w:t>
      </w:r>
      <w:r/>
    </w:p>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（建设单位与施工单位）</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以下简称“甲方”）</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（以下简称“乙方”）</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施工合同的实施过程中创造安全、高效的施工环境，切实搞好本项目的安全管理工作，特此签订安全生产合同。具体如下：</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一、甲方职责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1、严格遵守国家有关安全生产的法律法规，认真执行工程承包合同中的有关安全要求。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2、按照“安全第一、预防为主”和坚持“管生产必需管安全”的原则进行安全生产管理，做到生产与安全工作同时计划、布置、检查、总结和评比。</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3、定期召开安全生产协调会，及时传达中央及地方有关安全生产的精神。</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4、组织对乙方施工现场安全生产检查，建立安全生产责任制网络、汇总重要危险源、监督乙方及时处理发现的各种安全隐患。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二、乙方职责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1、严格遵守国家有关安全生产的法律法规、有关安全生产的规定，认真执行工程承包合同中的有关安全要求，接受甲方和监督理工程师对安全生产工作的指导。</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3、建立健全安全产生责任制网络。从派住项目实施的项目经理到生产工人（包括临</w:t>
      </w:r>
      <w:r>
        <w:rPr>
          <w:rFonts w:hint="eastAsia" w:ascii="宋体" w:hAnsi="宋体" w:eastAsia="宋体" w:cs="宋体"/>
          <w:sz w:val="24"/>
          <w:szCs w:val="24"/>
        </w:rPr>
        <w:t xml:space="preserve">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4、乙方在任何时候都应采取各种合理的预防措施，防止其人员发生任何违法、违禁 、暴力、违规或妨碍治安的行为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6、加强施工中交通运输安全管理，各种运输机械等需划定运输线路行驶。</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7、对于易燃易爆的材料除应专门有效封赛闭、妥善保管之处，还应配备有足够的消防设施所有施工人员都应熟悉消防设备的性能和使用方法。</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8、操作人员上岗，必须按规定穿戴防护用品。施工负责人和安全检查员随时检查劳动防护用品的穿戴情况，不按规定穿戴防护用品的人员不得上岗。</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10、施工现场必须具有相关的安全标志牌。</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11、建立主要危险源备案制度，要明确潜在隐患、防范措施和落实责任人。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三、违约责任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如因甲方或乙方违约造成安全事故，将报请有关部门依法追究责任。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本合同一式二份，由双方法定代表人或其授权的代理人签署和加盖公章后生效，全部工程竣工验收后失效。</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      方：                           乙      方：</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            法定代表人（或授权代理人）：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                           地      址：</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                           电      话：</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日      期：</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jc w:val="center"/>
        <w:sectPr>
          <w:headerReference w:type="default" r:id="rId11"/>
          <w:footerReference w:type="default" r:id="rId23"/>
          <w:footnotePr/>
          <w:endnotePr/>
          <w:type w:val="nextPage"/>
          <w:pgSz w:w="11907" w:h="16840" w:orient="portrait"/>
          <w:pgMar w:top="1118" w:right="1302" w:bottom="1014" w:left="1181" w:header="878" w:footer="854" w:gutter="0"/>
          <w:cols w:num="1" w:sep="0" w:space="720" w:equalWidth="1"/>
          <w:docGrid w:linePitch="360"/>
        </w:sectPr>
      </w:pPr>
      <w:r/>
      <w:r/>
    </w:p>
    <w:p>
      <w:pPr>
        <w:pStyle w:val="881"/>
      </w:pPr>
      <w:r/>
      <w:bookmarkStart w:id="672" w:name="_Toc104818930"/>
      <w:r/>
      <w:r/>
    </w:p>
    <w:p>
      <w:pPr>
        <w:jc w:val="center"/>
        <w:spacing w:line="360" w:lineRule="auto"/>
        <w:rPr>
          <w:b/>
          <w:sz w:val="36"/>
          <w:szCs w:val="36"/>
        </w:rPr>
        <w:outlineLvl w:val="0"/>
      </w:pPr>
      <w:r>
        <w:rPr>
          <w:b/>
          <w:sz w:val="36"/>
          <w:szCs w:val="36"/>
        </w:rPr>
        <w:t xml:space="preserve">第六章   响应文件格式</w:t>
      </w:r>
      <w:bookmarkEnd w:id="672"/>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103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033"/>
        <w:ind w:firstLine="480"/>
        <w:spacing w:line="460" w:lineRule="exact"/>
      </w:pPr>
      <w:r/>
      <w:r/>
    </w:p>
    <w:p>
      <w:pPr>
        <w:pStyle w:val="1033"/>
        <w:ind w:firstLine="480"/>
        <w:spacing w:line="460" w:lineRule="exact"/>
        <w:rPr>
          <w:u w:val="single"/>
        </w:rPr>
      </w:pPr>
      <w:r>
        <w:rPr>
          <w:rFonts w:hint="eastAsia"/>
        </w:rPr>
        <w:t xml:space="preserve">致：</w:t>
      </w:r>
      <w:r>
        <w:rPr>
          <w:rFonts w:hint="eastAsia"/>
          <w:u w:val="single"/>
        </w:rPr>
        <w:t xml:space="preserve">（采购人名称）</w:t>
      </w:r>
      <w:r/>
    </w:p>
    <w:p>
      <w:pPr>
        <w:pStyle w:val="1033"/>
        <w:ind w:firstLine="480"/>
        <w:spacing w:line="460" w:lineRule="exact"/>
      </w:pPr>
      <w:r/>
      <w:r/>
    </w:p>
    <w:p>
      <w:pPr>
        <w:pStyle w:val="1033"/>
        <w:ind w:firstLine="480"/>
        <w:spacing w:line="460" w:lineRule="exact"/>
      </w:pPr>
      <w:r>
        <w:rPr>
          <w:rFonts w:hint="eastAsia"/>
        </w:rPr>
        <w:t xml:space="preserve">按照《中华人民共和国政府采购法》第二十二条和磋商文件的规定，我单位郑重声明如下：</w:t>
      </w:r>
      <w:r/>
    </w:p>
    <w:p>
      <w:pPr>
        <w:pStyle w:val="103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3"/>
        <w:ind w:firstLine="480"/>
        <w:spacing w:line="460" w:lineRule="exact"/>
      </w:pPr>
      <w:r>
        <w:rPr>
          <w:rFonts w:hint="eastAsia"/>
        </w:rPr>
        <w:t xml:space="preserve">二、我单位未被“国家企业信用信息系统”列入经营异常名录或者严重违法企业名单。</w:t>
      </w:r>
      <w:r/>
    </w:p>
    <w:p>
      <w:pPr>
        <w:pStyle w:val="1033"/>
        <w:ind w:firstLine="480"/>
        <w:spacing w:line="460" w:lineRule="exact"/>
      </w:pPr>
      <w:r>
        <w:rPr>
          <w:rFonts w:hint="eastAsia"/>
        </w:rPr>
        <w:t xml:space="preserve">三、我单位具有良好的商业信誉（指供应商经营状况良好，无本资格声明第十条情形）和健全的财务会计制度。</w:t>
      </w:r>
      <w:r/>
    </w:p>
    <w:p>
      <w:pPr>
        <w:pStyle w:val="1033"/>
        <w:ind w:firstLine="480"/>
        <w:spacing w:line="460" w:lineRule="exact"/>
      </w:pPr>
      <w:r>
        <w:rPr>
          <w:rFonts w:hint="eastAsia"/>
        </w:rPr>
        <w:t xml:space="preserve">四、我单位依法进行纳税和社会保险申报并实际履行了义务。</w:t>
      </w:r>
      <w:r/>
    </w:p>
    <w:p>
      <w:pPr>
        <w:pStyle w:val="1033"/>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3"/>
        <w:ind w:firstLine="480"/>
        <w:spacing w:line="460" w:lineRule="exact"/>
      </w:pPr>
      <w:r>
        <w:rPr>
          <w:rFonts w:hint="eastAsia"/>
        </w:rPr>
        <w:t xml:space="preserve">主要设备有：</w:t>
      </w:r>
      <w:r>
        <w:rPr>
          <w:u w:val="single"/>
        </w:rPr>
        <w:t xml:space="preserve">            </w:t>
      </w:r>
      <w:r/>
    </w:p>
    <w:p>
      <w:pPr>
        <w:pStyle w:val="1033"/>
        <w:ind w:firstLine="480"/>
        <w:spacing w:line="460" w:lineRule="exact"/>
      </w:pPr>
      <w:r>
        <w:rPr>
          <w:rFonts w:hint="eastAsia"/>
        </w:rPr>
        <w:t xml:space="preserve">主要专业技术能力有</w:t>
      </w:r>
      <w:r>
        <w:rPr>
          <w:rFonts w:hint="eastAsia"/>
          <w:u w:val="single"/>
        </w:rPr>
        <w:t xml:space="preserve">                 </w:t>
      </w:r>
      <w:r/>
    </w:p>
    <w:p>
      <w:pPr>
        <w:pStyle w:val="1033"/>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3"/>
        <w:ind w:firstLine="480"/>
        <w:spacing w:line="460" w:lineRule="exact"/>
      </w:pPr>
      <w:r>
        <w:rPr>
          <w:rFonts w:hint="eastAsia"/>
        </w:rPr>
        <w:t xml:space="preserve">七、我单位具备法律、行政法规规定的其他条件。</w:t>
      </w:r>
      <w:r/>
    </w:p>
    <w:p>
      <w:pPr>
        <w:pStyle w:val="1033"/>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3"/>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3"/>
        <w:ind w:firstLine="480"/>
        <w:spacing w:line="460" w:lineRule="exact"/>
      </w:pPr>
      <w:r>
        <w:rPr>
          <w:rFonts w:hint="eastAsia"/>
        </w:rPr>
        <w:t xml:space="preserve">十、</w:t>
      </w:r>
      <w:r>
        <w:t xml:space="preserve">我单位无以下不良信用记录情形：</w:t>
      </w:r>
      <w:r/>
    </w:p>
    <w:p>
      <w:pPr>
        <w:pStyle w:val="1033"/>
        <w:ind w:firstLine="480"/>
        <w:spacing w:line="460" w:lineRule="exact"/>
      </w:pPr>
      <w:r>
        <w:t xml:space="preserve">1</w:t>
      </w:r>
      <w:r>
        <w:rPr>
          <w:rFonts w:hint="eastAsia"/>
        </w:rPr>
        <w:t xml:space="preserve">、在“信用中国”网站被列入失信被执行人和重大税收违法案件当事人名单；</w:t>
      </w:r>
      <w:r/>
    </w:p>
    <w:p>
      <w:pPr>
        <w:pStyle w:val="1033"/>
        <w:ind w:firstLine="480"/>
        <w:spacing w:line="460" w:lineRule="exact"/>
      </w:pPr>
      <w:r>
        <w:t xml:space="preserve">2</w:t>
      </w:r>
      <w:r>
        <w:rPr>
          <w:rFonts w:hint="eastAsia"/>
        </w:rPr>
        <w:t xml:space="preserve">、在“中国政府采购网”网站被列入政府采购严重违法失信行为记录名单；</w:t>
      </w:r>
      <w:r/>
    </w:p>
    <w:p>
      <w:pPr>
        <w:pStyle w:val="1033"/>
        <w:ind w:firstLine="480"/>
        <w:spacing w:line="460" w:lineRule="exact"/>
      </w:pPr>
      <w:r>
        <w:t xml:space="preserve">3</w:t>
      </w:r>
      <w:r>
        <w:rPr>
          <w:rFonts w:hint="eastAsia"/>
        </w:rPr>
        <w:t xml:space="preserve">、</w:t>
      </w:r>
      <w:r>
        <w:t xml:space="preserve">不符合《政府采购法》第二十二条规定的条件。</w:t>
      </w:r>
      <w:r/>
    </w:p>
    <w:p>
      <w:pPr>
        <w:pStyle w:val="1033"/>
        <w:ind w:firstLine="480"/>
        <w:spacing w:line="460" w:lineRule="exact"/>
      </w:pPr>
      <w:r/>
      <w:r/>
    </w:p>
    <w:p>
      <w:pPr>
        <w:pStyle w:val="103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3"/>
        <w:ind w:firstLine="480"/>
        <w:spacing w:line="460" w:lineRule="exact"/>
      </w:pPr>
      <w:r/>
      <w:r/>
    </w:p>
    <w:p>
      <w:pPr>
        <w:pStyle w:val="1033"/>
        <w:ind w:firstLine="480"/>
        <w:spacing w:line="460" w:lineRule="exact"/>
      </w:pPr>
      <w:r/>
      <w:r/>
    </w:p>
    <w:p>
      <w:pPr>
        <w:pStyle w:val="1033"/>
        <w:ind w:firstLine="480"/>
        <w:spacing w:line="460" w:lineRule="exact"/>
      </w:pPr>
      <w:r>
        <w:rPr>
          <w:rFonts w:hint="eastAsia"/>
        </w:rPr>
        <w:t xml:space="preserve">                                            供应商：（加盖公章）</w:t>
      </w:r>
      <w:r/>
    </w:p>
    <w:p>
      <w:pPr>
        <w:pStyle w:val="1033"/>
        <w:ind w:firstLine="480"/>
        <w:spacing w:line="460" w:lineRule="exact"/>
      </w:pPr>
      <w:r>
        <w:rPr>
          <w:rFonts w:hint="eastAsia"/>
        </w:rPr>
        <w:t xml:space="preserve">                           法定代表人（或单位负责人）签字或盖章：</w:t>
      </w:r>
      <w:r/>
    </w:p>
    <w:p>
      <w:pPr>
        <w:pStyle w:val="1033"/>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40" w:right="1800" w:bottom="1440" w:left="1800" w:header="851" w:footer="851" w:gutter="0"/>
          <w:cols w:num="1" w:sep="0" w:space="1701" w:equalWidth="1"/>
          <w:docGrid w:linePitch="360"/>
        </w:sectPr>
      </w:pPr>
      <w:r>
        <w:rPr>
          <w:sz w:val="24"/>
        </w:rPr>
      </w:r>
      <w:r/>
    </w:p>
    <w:p>
      <w:pPr>
        <w:spacing w:line="360" w:lineRule="auto"/>
        <w:rPr>
          <w:color w:val="000000"/>
          <w:sz w:val="24"/>
          <w:szCs w:val="20"/>
        </w:rPr>
        <w:outlineLvl w:val="2"/>
      </w:pPr>
      <w:r>
        <w:rPr>
          <w:color w:val="000000"/>
          <w:sz w:val="24"/>
          <w:szCs w:val="20"/>
        </w:rPr>
        <w:t xml:space="preserve">2 落实政府采购政策需满足的资格要求</w:t>
      </w:r>
      <w:r/>
    </w:p>
    <w:p>
      <w:pPr>
        <w:spacing w:line="360" w:lineRule="auto"/>
        <w:rPr>
          <w:color w:val="000000"/>
          <w:sz w:val="24"/>
          <w:szCs w:val="20"/>
        </w:rPr>
        <w:outlineLvl w:val="2"/>
      </w:pPr>
      <w:r>
        <w:rPr>
          <w:color w:val="000000"/>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p>
    <w:p>
      <w:pPr>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center"/>
        <w:widowControl/>
        <w:rPr>
          <w:b/>
          <w:bCs/>
          <w:color w:val="000000"/>
          <w:sz w:val="36"/>
          <w:szCs w:val="36"/>
        </w:rPr>
      </w:pPr>
      <w:r>
        <w:rPr>
          <w:color w:val="000000"/>
          <w:sz w:val="24"/>
        </w:rPr>
        <w:br w:type="page" w:clear="all"/>
      </w: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w:t>
      </w:r>
      <w:r>
        <w:rPr>
          <w:rFonts w:hint="eastAsia"/>
          <w:spacing w:val="6"/>
          <w:sz w:val="24"/>
          <w:u w:val="single"/>
          <w:lang w:val="en-US" w:eastAsia="zh-CN"/>
        </w:rPr>
        <w:t xml:space="preserve">     </w:t>
      </w:r>
      <w:r>
        <w:rPr>
          <w:spacing w:val="6"/>
          <w:sz w:val="24"/>
        </w:rPr>
        <w:t xml:space="preserve">郑重声明，根据《政府采购促进中小企业发展管理办法》（财库﹝2020﹞46 号）的规定，本公司</w:t>
      </w:r>
      <w:r>
        <w:rPr>
          <w:rFonts w:hint="eastAsia"/>
          <w:spacing w:val="6"/>
          <w:sz w:val="24"/>
          <w:u w:val="single"/>
          <w:lang w:val="en-US" w:eastAsia="zh-CN"/>
        </w:rPr>
        <w:t xml:space="preserve">     </w:t>
      </w:r>
      <w:r>
        <w:rPr>
          <w:spacing w:val="6"/>
          <w:sz w:val="24"/>
        </w:rPr>
        <w:t xml:space="preserve">参加</w:t>
      </w:r>
      <w:r>
        <w:rPr>
          <w:rFonts w:hint="eastAsia"/>
          <w:spacing w:val="6"/>
          <w:sz w:val="24"/>
          <w:u w:val="single"/>
          <w:lang w:val="en-US" w:eastAsia="zh-CN"/>
        </w:rPr>
        <w:t xml:space="preserve">     </w:t>
      </w:r>
      <w:r>
        <w:rPr>
          <w:spacing w:val="6"/>
          <w:sz w:val="24"/>
        </w:rPr>
        <w:t xml:space="preserve">（单位名称）的</w:t>
      </w:r>
      <w:r>
        <w:rPr>
          <w:rFonts w:hint="eastAsia"/>
          <w:spacing w:val="6"/>
          <w:sz w:val="24"/>
          <w:u w:val="single"/>
          <w:lang w:val="en-US" w:eastAsia="zh-CN"/>
        </w:rPr>
        <w:t xml:space="preserve">     </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85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31"/>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both"/>
        <w:spacing w:before="240" w:after="240"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p>
    <w:p>
      <w:pPr>
        <w:jc w:val="center"/>
        <w:rPr>
          <w:color w:val="000000"/>
          <w:sz w:val="36"/>
          <w:szCs w:val="36"/>
        </w:rPr>
      </w:pPr>
      <w:r>
        <w:rPr>
          <w:color w:val="000000"/>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jc w:val="left"/>
        <w:widowControl/>
        <w:rPr>
          <w:color w:val="000000"/>
          <w:sz w:val="24"/>
          <w:szCs w:val="20"/>
        </w:rPr>
      </w:pPr>
      <w:r>
        <w:rPr>
          <w:color w:val="000000"/>
          <w:sz w:val="24"/>
          <w:szCs w:val="20"/>
        </w:rPr>
      </w:r>
      <w:r/>
    </w:p>
    <w:p>
      <w:pPr>
        <w:spacing w:line="360" w:lineRule="auto"/>
        <w:rPr>
          <w:color w:val="000000"/>
          <w:sz w:val="24"/>
          <w:szCs w:val="20"/>
        </w:rPr>
        <w:outlineLvl w:val="2"/>
      </w:pPr>
      <w:r>
        <w:rPr>
          <w:color w:val="000000"/>
          <w:sz w:val="24"/>
          <w:szCs w:val="20"/>
        </w:rPr>
        <w:t xml:space="preserve">2-3</w:t>
      </w:r>
      <w:r>
        <w:rPr>
          <w:sz w:val="24"/>
        </w:rPr>
        <w:t xml:space="preserve">其它落实政府采购政策的资格要求</w:t>
      </w:r>
      <w:r>
        <w:rPr>
          <w:color w:val="000000"/>
          <w:sz w:val="24"/>
          <w:szCs w:val="20"/>
        </w:rPr>
        <w:t xml:space="preserve">（如有）</w:t>
      </w:r>
      <w:r/>
    </w:p>
    <w:p>
      <w:pPr>
        <w:jc w:val="left"/>
        <w:widowControl/>
        <w:rPr>
          <w:sz w:val="24"/>
        </w:rPr>
      </w:pPr>
      <w:r>
        <w:rPr>
          <w:sz w:val="24"/>
        </w:rPr>
      </w:r>
      <w:r/>
    </w:p>
    <w:p>
      <w:pPr>
        <w:jc w:val="left"/>
        <w:widowControl/>
        <w:rPr>
          <w:sz w:val="24"/>
        </w:rPr>
      </w:pPr>
      <w:r>
        <w:rPr>
          <w:sz w:val="24"/>
        </w:rPr>
        <w:br w:type="page" w:clear="all"/>
      </w:r>
      <w:r/>
    </w:p>
    <w:p>
      <w:pPr>
        <w:spacing w:line="360" w:lineRule="auto"/>
        <w:rPr>
          <w:color w:val="000000"/>
          <w:sz w:val="24"/>
          <w:szCs w:val="20"/>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p>
    <w:p>
      <w:pPr>
        <w:jc w:val="left"/>
        <w:widowControl/>
        <w:rPr>
          <w:sz w:val="24"/>
        </w:rPr>
      </w:pPr>
      <w:r>
        <w:rPr>
          <w:sz w:val="24"/>
        </w:rPr>
      </w:r>
      <w:r/>
    </w:p>
    <w:p>
      <w:pPr>
        <w:spacing w:line="360" w:lineRule="auto"/>
        <w:rPr>
          <w:sz w:val="24"/>
          <w:szCs w:val="20"/>
        </w:rPr>
        <w:outlineLvl w:val="2"/>
      </w:pPr>
      <w:r>
        <w:rPr>
          <w:color w:val="000000"/>
          <w:sz w:val="24"/>
          <w:szCs w:val="20"/>
        </w:rPr>
        <w:t xml:space="preserve">3-2其他</w:t>
      </w:r>
      <w:r>
        <w:rPr>
          <w:sz w:val="24"/>
          <w:szCs w:val="20"/>
        </w:rPr>
        <w:t xml:space="preserve">特定资格要求</w:t>
      </w:r>
      <w:r/>
    </w:p>
    <w:p>
      <w:pPr>
        <w:spacing w:line="360" w:lineRule="auto"/>
        <w:tabs>
          <w:tab w:val="left" w:pos="5580" w:leader="none"/>
        </w:tabs>
        <w:rPr>
          <w:sz w:val="24"/>
          <w:szCs w:val="20"/>
        </w:rPr>
      </w:pPr>
      <w:r>
        <w:rPr>
          <w:sz w:val="24"/>
          <w:szCs w:val="20"/>
        </w:rPr>
      </w:r>
      <w:r/>
    </w:p>
    <w:p>
      <w:pPr>
        <w:spacing w:line="360" w:lineRule="auto"/>
        <w:rPr>
          <w:color w:val="000000"/>
          <w:sz w:val="24"/>
          <w:szCs w:val="20"/>
        </w:rPr>
        <w:outlineLvl w:val="2"/>
      </w:pPr>
      <w:r>
        <w:rPr>
          <w:b/>
          <w:sz w:val="24"/>
        </w:rPr>
        <w:br w:type="page" w:clear="all"/>
      </w:r>
      <w:bookmarkStart w:id="673" w:name="_Toc226965830"/>
      <w:r/>
      <w:bookmarkStart w:id="674" w:name="_Toc142311059"/>
      <w:r/>
      <w:bookmarkStart w:id="675" w:name="_Toc480942350"/>
      <w:r/>
      <w:bookmarkStart w:id="676" w:name="_Toc226309801"/>
      <w:r/>
      <w:bookmarkStart w:id="677" w:name="_Toc305158825"/>
      <w:r/>
      <w:bookmarkStart w:id="678" w:name="_Toc265228395"/>
      <w:r/>
      <w:bookmarkStart w:id="679" w:name="_Toc195842922"/>
      <w:r/>
      <w:bookmarkStart w:id="680" w:name="_Toc127151557"/>
      <w:r/>
      <w:bookmarkStart w:id="681" w:name="_Toc226965747"/>
      <w:r/>
      <w:bookmarkStart w:id="682" w:name="_Toc226337253"/>
      <w:r/>
      <w:bookmarkStart w:id="683" w:name="_Toc150480795"/>
      <w:r/>
      <w:bookmarkStart w:id="684" w:name="_Toc305158899"/>
      <w:r/>
      <w:bookmarkStart w:id="685" w:name="_Toc520356218"/>
      <w:r/>
      <w:bookmarkStart w:id="686" w:name="_Toc264969247"/>
      <w:r/>
      <w:bookmarkStart w:id="687" w:name="_Ref467988705"/>
      <w:r/>
      <w:bookmarkStart w:id="688" w:name="_Toc150774762"/>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响应函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与本响应有关的一切正式往来信函请寄：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供应商名称（加盖公章）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689" w:name="_Hlt520356243"/>
      <w:r/>
      <w:bookmarkEnd w:id="689"/>
      <w:r/>
      <w:bookmarkStart w:id="690" w:name="_Hlt520355938"/>
      <w:r/>
      <w:bookmarkEnd w:id="690"/>
      <w:r>
        <w:rPr>
          <w:color w:val="000000"/>
          <w:sz w:val="24"/>
        </w:rPr>
        <w:br w:type="page" w:clear="all"/>
      </w:r>
      <w:r/>
    </w:p>
    <w:p>
      <w:pPr>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06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5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供应商：（加盖公章）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76"/>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r>
      <w:r/>
    </w:p>
    <w:p>
      <w:pPr>
        <w:pStyle w:val="881"/>
        <w:rPr>
          <w:color w:val="000000"/>
          <w:sz w:val="24"/>
          <w:szCs w:val="20"/>
        </w:rPr>
      </w:pPr>
      <w:r>
        <w:rPr>
          <w:color w:val="000000"/>
          <w:sz w:val="24"/>
          <w:szCs w:val="20"/>
        </w:rPr>
      </w:r>
      <w:r/>
    </w:p>
    <w:p>
      <w:pPr>
        <w:rPr>
          <w:color w:val="000000"/>
          <w:sz w:val="24"/>
          <w:szCs w:val="20"/>
        </w:rPr>
      </w:pPr>
      <w:r>
        <w:rPr>
          <w:color w:val="000000"/>
          <w:sz w:val="24"/>
          <w:szCs w:val="20"/>
        </w:rPr>
      </w:r>
      <w:r/>
    </w:p>
    <w:p>
      <w:pPr>
        <w:pStyle w:val="881"/>
        <w:rPr>
          <w:color w:val="000000"/>
          <w:sz w:val="24"/>
          <w:szCs w:val="20"/>
        </w:rPr>
      </w:pPr>
      <w:r>
        <w:rPr>
          <w:color w:val="000000"/>
          <w:sz w:val="24"/>
          <w:szCs w:val="20"/>
        </w:rPr>
      </w:r>
      <w:r/>
    </w:p>
    <w:p>
      <w:r/>
      <w:r/>
    </w:p>
    <w:p>
      <w:r/>
      <w:r/>
    </w:p>
    <w:p>
      <w:pPr>
        <w:spacing w:line="360" w:lineRule="auto"/>
        <w:rPr>
          <w:color w:val="000000"/>
          <w:sz w:val="24"/>
          <w:szCs w:val="20"/>
        </w:rPr>
        <w:outlineLvl w:val="2"/>
      </w:pPr>
      <w:r>
        <w:rPr>
          <w:color w:val="000000"/>
          <w:sz w:val="24"/>
          <w:szCs w:val="20"/>
        </w:rPr>
        <w:t xml:space="preserve">7  报价一览表</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jc w:val="center"/>
        <w:rPr>
          <w:b/>
          <w:color w:val="000000"/>
          <w:sz w:val="36"/>
          <w:szCs w:val="36"/>
        </w:rPr>
      </w:pPr>
      <w:r/>
      <w:bookmarkStart w:id="691" w:name="_Toc226337254"/>
      <w:r/>
      <w:bookmarkStart w:id="692" w:name="_Toc164608827"/>
      <w:r/>
      <w:bookmarkStart w:id="693" w:name="_Toc265228396"/>
      <w:r/>
      <w:bookmarkStart w:id="694" w:name="_Toc226309802"/>
      <w:r/>
      <w:bookmarkStart w:id="695" w:name="_Toc305158826"/>
      <w:r/>
      <w:bookmarkStart w:id="696" w:name="_Toc264969248"/>
      <w:r/>
      <w:bookmarkStart w:id="697" w:name="_Toc195842923"/>
      <w:r/>
      <w:bookmarkStart w:id="698" w:name="_Toc305158900"/>
      <w:r/>
      <w:bookmarkStart w:id="699" w:name="_Toc226965748"/>
      <w:r/>
      <w:bookmarkStart w:id="700" w:name="_Toc226965831"/>
      <w:r/>
      <w:bookmarkStart w:id="701" w:name="_Toc164608672"/>
      <w:r>
        <w:rPr>
          <w:rFonts w:hint="eastAsia"/>
          <w:b/>
          <w:color w:val="000000"/>
          <w:sz w:val="36"/>
          <w:szCs w:val="36"/>
        </w:rPr>
        <w:t xml:space="preserve">报价一览表</w:t>
      </w:r>
      <w:bookmarkEnd w:id="691"/>
      <w:r/>
      <w:bookmarkEnd w:id="692"/>
      <w:r/>
      <w:bookmarkEnd w:id="693"/>
      <w:r/>
      <w:bookmarkEnd w:id="694"/>
      <w:r/>
      <w:bookmarkEnd w:id="695"/>
      <w:r/>
      <w:bookmarkEnd w:id="696"/>
      <w:r/>
      <w:bookmarkEnd w:id="697"/>
      <w:r/>
      <w:bookmarkEnd w:id="698"/>
      <w:r/>
      <w:bookmarkEnd w:id="699"/>
      <w:r/>
      <w:bookmarkEnd w:id="700"/>
      <w:r/>
      <w:bookmarkEnd w:id="701"/>
      <w:r/>
      <w:r/>
    </w:p>
    <w:p>
      <w:pPr>
        <w:jc w:val="left"/>
        <w:spacing w:line="360" w:lineRule="auto"/>
        <w:tabs>
          <w:tab w:val="left" w:pos="1800" w:leader="none"/>
          <w:tab w:val="left" w:pos="5580" w:leader="none"/>
        </w:tabs>
        <w:rPr>
          <w:color w:val="000000"/>
          <w:sz w:val="24"/>
        </w:rPr>
      </w:pPr>
      <w:r>
        <w:rPr>
          <w:color w:val="000000"/>
          <w:sz w:val="24"/>
        </w:rPr>
      </w:r>
      <w:r/>
    </w:p>
    <w:p>
      <w:pPr>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     项目名称：____________________</w:t>
      </w:r>
      <w:r/>
    </w:p>
    <w:tbl>
      <w:tblPr>
        <w:tblStyle w:val="852"/>
        <w:tblW w:w="45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2"/>
        <w:gridCol w:w="2345"/>
        <w:gridCol w:w="2456"/>
        <w:gridCol w:w="2099"/>
      </w:tblGrid>
      <w:tr>
        <w:trPr>
          <w:jc w:val="center"/>
          <w:trHeight w:val="531"/>
        </w:trPr>
        <w:tc>
          <w:tcPr>
            <w:tcW w:w="592"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W w:w="2342" w:type="dxa"/>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W w:w="4550" w:type="dxa"/>
            <w:vAlign w:val="center"/>
            <w:textDirection w:val="lrTb"/>
            <w:noWrap w:val="false"/>
          </w:tcPr>
          <w:p>
            <w:pPr>
              <w:jc w:val="center"/>
              <w:tabs>
                <w:tab w:val="left" w:pos="5580" w:leader="none"/>
              </w:tabs>
              <w:rPr>
                <w:b/>
                <w:sz w:val="24"/>
              </w:rPr>
            </w:pPr>
            <w:r>
              <w:rPr>
                <w:rFonts w:hint="eastAsia"/>
                <w:b/>
                <w:sz w:val="24"/>
              </w:rPr>
              <w:t xml:space="preserve">报价</w:t>
            </w:r>
            <w:r/>
          </w:p>
        </w:tc>
      </w:tr>
      <w:tr>
        <w:trPr>
          <w:jc w:val="center"/>
          <w:trHeight w:val="674"/>
        </w:trPr>
        <w:tc>
          <w:tcPr>
            <w:tcW w:w="592" w:type="dxa"/>
            <w:vAlign w:val="center"/>
            <w:vMerge w:val="continue"/>
            <w:textDirection w:val="lrTb"/>
            <w:noWrap w:val="false"/>
          </w:tcPr>
          <w:p>
            <w:pPr>
              <w:jc w:val="left"/>
              <w:widowControl/>
              <w:rPr>
                <w:b/>
                <w:sz w:val="24"/>
              </w:rPr>
            </w:pPr>
            <w:r>
              <w:rPr>
                <w:b/>
                <w:sz w:val="24"/>
              </w:rPr>
            </w:r>
            <w:r/>
          </w:p>
        </w:tc>
        <w:tc>
          <w:tcPr>
            <w:tcW w:w="2342" w:type="dxa"/>
            <w:vAlign w:val="center"/>
            <w:vMerge w:val="continue"/>
            <w:textDirection w:val="lrTb"/>
            <w:noWrap w:val="false"/>
          </w:tcPr>
          <w:p>
            <w:pPr>
              <w:jc w:val="left"/>
              <w:widowControl/>
              <w:rPr>
                <w:b/>
                <w:sz w:val="24"/>
              </w:rPr>
            </w:pPr>
            <w:r>
              <w:rPr>
                <w:b/>
                <w:sz w:val="24"/>
              </w:rPr>
            </w:r>
            <w:r/>
          </w:p>
        </w:tc>
        <w:tc>
          <w:tcPr>
            <w:tcW w:w="2453" w:type="dxa"/>
            <w:vAlign w:val="center"/>
            <w:textDirection w:val="lrTb"/>
            <w:noWrap w:val="false"/>
          </w:tcPr>
          <w:p>
            <w:pPr>
              <w:jc w:val="center"/>
              <w:tabs>
                <w:tab w:val="left" w:pos="5580" w:leader="none"/>
              </w:tabs>
              <w:rPr>
                <w:b/>
                <w:sz w:val="24"/>
              </w:rPr>
            </w:pPr>
            <w:r>
              <w:rPr>
                <w:rFonts w:hint="eastAsia"/>
                <w:b/>
                <w:sz w:val="24"/>
              </w:rPr>
              <w:t xml:space="preserve">大写</w:t>
            </w:r>
            <w:r/>
          </w:p>
        </w:tc>
        <w:tc>
          <w:tcPr>
            <w:tcW w:w="2097"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W w:w="592" w:type="dxa"/>
            <w:vAlign w:val="center"/>
            <w:textDirection w:val="lrTb"/>
            <w:noWrap w:val="false"/>
          </w:tcPr>
          <w:p>
            <w:pPr>
              <w:jc w:val="center"/>
              <w:tabs>
                <w:tab w:val="left" w:pos="5580" w:leader="none"/>
              </w:tabs>
              <w:rPr>
                <w:sz w:val="24"/>
              </w:rPr>
            </w:pPr>
            <w:r>
              <w:rPr>
                <w:sz w:val="24"/>
              </w:rPr>
            </w:r>
            <w:r/>
          </w:p>
        </w:tc>
        <w:tc>
          <w:tcPr>
            <w:tcW w:w="2342" w:type="dxa"/>
            <w:vAlign w:val="center"/>
            <w:textDirection w:val="lrTb"/>
            <w:noWrap w:val="false"/>
          </w:tcPr>
          <w:p>
            <w:pPr>
              <w:jc w:val="center"/>
              <w:tabs>
                <w:tab w:val="left" w:pos="5580" w:leader="none"/>
              </w:tabs>
              <w:rPr>
                <w:sz w:val="24"/>
              </w:rPr>
            </w:pPr>
            <w:r>
              <w:rPr>
                <w:sz w:val="24"/>
              </w:rPr>
            </w:r>
            <w:r/>
          </w:p>
        </w:tc>
        <w:tc>
          <w:tcPr>
            <w:tcW w:w="2453" w:type="dxa"/>
            <w:vAlign w:val="center"/>
            <w:textDirection w:val="lrTb"/>
            <w:noWrap w:val="false"/>
          </w:tcPr>
          <w:p>
            <w:pPr>
              <w:jc w:val="center"/>
              <w:tabs>
                <w:tab w:val="left" w:pos="5580" w:leader="none"/>
              </w:tabs>
              <w:rPr>
                <w:sz w:val="24"/>
              </w:rPr>
            </w:pPr>
            <w:r>
              <w:rPr>
                <w:sz w:val="24"/>
              </w:rPr>
            </w:r>
            <w:r/>
          </w:p>
        </w:tc>
        <w:tc>
          <w:tcPr>
            <w:tcW w:w="2097" w:type="dxa"/>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p>
    <w:p>
      <w:pPr>
        <w:ind w:firstLine="480"/>
        <w:tabs>
          <w:tab w:val="left" w:pos="5580" w:leader="none"/>
        </w:tabs>
        <w:rPr>
          <w:color w:val="000000"/>
          <w:sz w:val="24"/>
          <w:szCs w:val="20"/>
        </w:rPr>
      </w:pPr>
      <w:r>
        <w:rPr>
          <w:color w:val="000000"/>
          <w:sz w:val="24"/>
          <w:szCs w:val="20"/>
        </w:rPr>
        <w:t xml:space="preserve">2.本表必须按包分别填写。</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702" w:name="_Toc127151558"/>
      <w:r/>
      <w:bookmarkStart w:id="703" w:name="_Toc264969249"/>
      <w:r/>
      <w:bookmarkStart w:id="704" w:name="_Toc305158827"/>
      <w:r/>
      <w:bookmarkStart w:id="705" w:name="_Toc150774763"/>
      <w:r/>
      <w:bookmarkStart w:id="706" w:name="_Toc305158901"/>
      <w:r/>
      <w:bookmarkStart w:id="707" w:name="_Toc226965749"/>
      <w:r/>
      <w:bookmarkStart w:id="708" w:name="_Toc226309803"/>
      <w:r/>
      <w:bookmarkStart w:id="709" w:name="_Toc142311060"/>
      <w:r/>
      <w:bookmarkStart w:id="710" w:name="_Toc265228397"/>
      <w:r/>
      <w:bookmarkStart w:id="711" w:name="_Toc195842924"/>
      <w:r/>
      <w:bookmarkStart w:id="712" w:name="_Toc226965832"/>
      <w:r/>
      <w:bookmarkStart w:id="713" w:name="_Toc150480796"/>
      <w:r/>
      <w:bookmarkStart w:id="714" w:name="_Toc226337255"/>
      <w:r>
        <w:rPr>
          <w:color w:val="000000"/>
          <w:sz w:val="24"/>
          <w:szCs w:val="20"/>
        </w:rPr>
        <w:br w:type="page" w:clear="all"/>
      </w:r>
      <w:r/>
    </w:p>
    <w:p>
      <w:pPr>
        <w:spacing w:line="360" w:lineRule="auto"/>
        <w:rPr>
          <w:color w:val="000000"/>
          <w:sz w:val="24"/>
          <w:szCs w:val="20"/>
        </w:rPr>
        <w:outlineLvl w:val="2"/>
      </w:pPr>
      <w:r>
        <w:rPr>
          <w:color w:val="000000"/>
          <w:sz w:val="24"/>
          <w:szCs w:val="20"/>
        </w:rPr>
        <w:t xml:space="preserve">8  分项报价表</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jc w:val="center"/>
        <w:spacing w:line="360" w:lineRule="exact"/>
        <w:rPr>
          <w:color w:val="000000"/>
          <w:sz w:val="36"/>
          <w:szCs w:val="36"/>
        </w:rPr>
      </w:pPr>
      <w:r>
        <w:rPr>
          <w:color w:val="000000"/>
          <w:sz w:val="36"/>
          <w:szCs w:val="36"/>
        </w:rPr>
      </w:r>
      <w:r/>
    </w:p>
    <w:p>
      <w:pPr>
        <w:jc w:val="center"/>
        <w:rPr>
          <w:b/>
          <w:color w:val="000000"/>
          <w:sz w:val="36"/>
          <w:szCs w:val="36"/>
          <w:highlight w:val="none"/>
        </w:rPr>
      </w:pPr>
      <w:r/>
      <w:bookmarkStart w:id="715" w:name="_Toc150774765"/>
      <w:r/>
      <w:bookmarkStart w:id="716" w:name="_Toc226309806"/>
      <w:r/>
      <w:bookmarkStart w:id="717" w:name="_Toc142311062"/>
      <w:r/>
      <w:bookmarkStart w:id="718" w:name="_Toc226965752"/>
      <w:r/>
      <w:bookmarkStart w:id="719" w:name="_Toc305158904"/>
      <w:r/>
      <w:bookmarkStart w:id="720" w:name="_Toc127151562"/>
      <w:r/>
      <w:bookmarkStart w:id="721" w:name="_Toc305158830"/>
      <w:r/>
      <w:bookmarkStart w:id="722" w:name="_Toc264969252"/>
      <w:r/>
      <w:bookmarkStart w:id="723" w:name="_Toc226965835"/>
      <w:r/>
      <w:bookmarkStart w:id="724" w:name="_Toc226337258"/>
      <w:r/>
      <w:bookmarkStart w:id="725" w:name="_Toc195842927"/>
      <w:r/>
      <w:bookmarkStart w:id="726" w:name="_Toc150480798"/>
      <w:r/>
      <w:bookmarkStart w:id="727" w:name="_Toc265228400"/>
      <w:r/>
      <w:bookmarkStart w:id="728" w:name="_Toc150480797"/>
      <w:r/>
      <w:bookmarkStart w:id="729" w:name="_Toc226309805"/>
      <w:r/>
      <w:bookmarkStart w:id="730" w:name="_Toc226965834"/>
      <w:r/>
      <w:bookmarkStart w:id="731" w:name="_Toc305158829"/>
      <w:r/>
      <w:bookmarkStart w:id="732" w:name="_Toc127151561"/>
      <w:r/>
      <w:bookmarkStart w:id="733" w:name="_Toc305158903"/>
      <w:r/>
      <w:bookmarkStart w:id="734" w:name="_Toc150774764"/>
      <w:r/>
      <w:bookmarkStart w:id="735" w:name="_Toc264969251"/>
      <w:r/>
      <w:bookmarkStart w:id="736" w:name="_Toc226965751"/>
      <w:r/>
      <w:bookmarkStart w:id="737" w:name="_Toc226337257"/>
      <w:r/>
      <w:bookmarkStart w:id="738" w:name="_Toc142311061"/>
      <w:r/>
      <w:bookmarkStart w:id="739" w:name="_Toc195842926"/>
      <w:r/>
      <w:bookmarkStart w:id="740" w:name="_Toc265228399"/>
      <w:r>
        <w:rPr>
          <w:rFonts w:hint="eastAsia"/>
          <w:b/>
          <w:color w:val="000000"/>
          <w:sz w:val="36"/>
          <w:szCs w:val="36"/>
          <w:highlight w:val="none"/>
        </w:rPr>
        <w:t xml:space="preserve">工程量清单报价</w:t>
      </w:r>
      <w:r/>
    </w:p>
    <w:p>
      <w:pPr>
        <w:ind w:firstLine="480"/>
        <w:jc w:val="left"/>
        <w:tabs>
          <w:tab w:val="left" w:pos="1800" w:leader="none"/>
          <w:tab w:val="left" w:pos="5580" w:leader="none"/>
        </w:tabs>
        <w:rPr>
          <w:rFonts w:eastAsia="宋体"/>
          <w:color w:val="000000"/>
          <w:sz w:val="24"/>
          <w:lang w:val="en-US" w:eastAsia="zh-CN"/>
        </w:rPr>
      </w:pPr>
      <w:r>
        <w:rPr>
          <w:rFonts w:eastAsia="宋体"/>
          <w:color w:val="000000"/>
          <w:sz w:val="24"/>
          <w:lang w:val="en-US" w:eastAsia="zh-CN"/>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pStyle w:val="843"/>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43"/>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43"/>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43"/>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43"/>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43"/>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43"/>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pStyle w:val="843"/>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t xml:space="preserve">9  合同条款偏离表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
    </w:p>
    <w:p>
      <w:pPr>
        <w:spacing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合同条款偏离表</w:t>
      </w:r>
      <w:r/>
    </w:p>
    <w:p>
      <w:pPr>
        <w:jc w:val="center"/>
        <w:rPr>
          <w:color w:val="000000"/>
          <w:sz w:val="36"/>
          <w:szCs w:val="36"/>
        </w:rPr>
      </w:pPr>
      <w:r>
        <w:rPr>
          <w:color w:val="000000"/>
          <w:sz w:val="36"/>
          <w:szCs w:val="36"/>
        </w:rPr>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p>
    <w:tbl>
      <w:tblPr>
        <w:tblStyle w:val="8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16"/>
        <w:gridCol w:w="1788"/>
        <w:gridCol w:w="1789"/>
        <w:gridCol w:w="2209"/>
        <w:gridCol w:w="741"/>
      </w:tblGrid>
      <w:tr>
        <w:trPr>
          <w:jc w:val="center"/>
          <w:trHeight w:val="930"/>
        </w:trPr>
        <w:tc>
          <w:tcPr>
            <w:gridSpan w:val="6"/>
            <w:tcW w:w="8523" w:type="dxa"/>
            <w:vAlign w:val="center"/>
            <w:textDirection w:val="lrTb"/>
            <w:noWrap w:val="false"/>
          </w:tcPr>
          <w:p>
            <w:pPr>
              <w:jc w:val="left"/>
              <w:rPr>
                <w:b/>
                <w:color w:val="000000"/>
                <w:sz w:val="24"/>
              </w:rPr>
            </w:pPr>
            <w:r>
              <w:rPr>
                <w:rFonts w:hint="eastAsia"/>
                <w:b/>
                <w:color w:val="000000"/>
                <w:sz w:val="24"/>
              </w:rPr>
              <w:t xml:space="preserve">对本项目合同条款的偏离情况（请进行勾选）：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响应文件内容</w:t>
            </w:r>
            <w:r/>
          </w:p>
        </w:tc>
        <w:tc>
          <w:tcPr>
            <w:tcW w:w="2458"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rPr>
              <w:t xml:space="preserve">（据实填写）</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color w:val="000000"/>
          <w:sz w:val="24"/>
          <w:szCs w:val="20"/>
        </w:rPr>
        <w:t xml:space="preserve">10  </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color w:val="000000"/>
          <w:sz w:val="24"/>
          <w:szCs w:val="20"/>
        </w:rPr>
        <w:t xml:space="preserve">采购需求偏离表</w:t>
      </w:r>
      <w:r/>
    </w:p>
    <w:p>
      <w:pPr>
        <w:jc w:val="center"/>
        <w:rPr>
          <w:b/>
          <w:color w:val="000000"/>
          <w:sz w:val="36"/>
          <w:szCs w:val="36"/>
        </w:rPr>
      </w:pPr>
      <w:r>
        <w:rPr>
          <w:rFonts w:hint="eastAsia"/>
          <w:b/>
          <w:color w:val="000000"/>
          <w:sz w:val="36"/>
          <w:szCs w:val="36"/>
        </w:rPr>
        <w:t xml:space="preserve">采购需求偏离表</w:t>
      </w:r>
      <w:r/>
    </w:p>
    <w:p>
      <w:pPr>
        <w:jc w:val="center"/>
        <w:rPr>
          <w:color w:val="000000"/>
          <w:sz w:val="36"/>
          <w:szCs w:val="36"/>
        </w:rPr>
      </w:pPr>
      <w:r>
        <w:rPr>
          <w:color w:val="000000"/>
          <w:sz w:val="36"/>
          <w:szCs w:val="36"/>
        </w:rPr>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  项目名称：_______________________</w:t>
      </w:r>
      <w:r/>
    </w:p>
    <w:tbl>
      <w:tblPr>
        <w:tblStyle w:val="85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磋商文件条目号(页码)</w:t>
            </w:r>
            <w:r/>
          </w:p>
        </w:tc>
        <w:tc>
          <w:tcPr>
            <w:tcW w:w="2384" w:type="dxa"/>
            <w:vAlign w:val="center"/>
            <w:textDirection w:val="lrTb"/>
            <w:noWrap w:val="false"/>
          </w:tcPr>
          <w:p>
            <w:pPr>
              <w:jc w:val="center"/>
              <w:rPr>
                <w:color w:val="000000"/>
                <w:sz w:val="24"/>
              </w:rPr>
            </w:pPr>
            <w:r>
              <w:rPr>
                <w:color w:val="000000"/>
                <w:sz w:val="24"/>
              </w:rPr>
              <w:t xml:space="preserve">磋商文件要求</w:t>
            </w:r>
            <w:r/>
          </w:p>
        </w:tc>
        <w:tc>
          <w:tcPr>
            <w:tcW w:w="2126" w:type="dxa"/>
            <w:vAlign w:val="center"/>
            <w:textDirection w:val="lrTb"/>
            <w:noWrap w:val="false"/>
          </w:tcPr>
          <w:p>
            <w:pPr>
              <w:jc w:val="center"/>
              <w:rPr>
                <w:color w:val="000000"/>
                <w:sz w:val="24"/>
              </w:rPr>
            </w:pPr>
            <w:r>
              <w:rPr>
                <w:color w:val="000000"/>
                <w:sz w:val="24"/>
              </w:rPr>
              <w:t xml:space="preserve">响应内容</w:t>
            </w:r>
            <w:r/>
          </w:p>
        </w:tc>
        <w:tc>
          <w:tcPr>
            <w:tcW w:w="1875"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szCs w:val="21"/>
              </w:rPr>
              <w:t xml:space="preserve">（据实填写）</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560" w:lineRule="exact"/>
        <w:rPr>
          <w:color w:val="000000"/>
          <w:sz w:val="24"/>
          <w:szCs w:val="20"/>
        </w:rPr>
      </w:pPr>
      <w:r>
        <w:rPr>
          <w:color w:val="000000"/>
          <w:sz w:val="24"/>
          <w:szCs w:val="20"/>
        </w:rPr>
        <w:br w:type="page" w:clear="all"/>
      </w:r>
      <w:r>
        <w:rPr>
          <w:rFonts w:hint="eastAsia"/>
          <w:color w:val="000000"/>
          <w:sz w:val="24"/>
          <w:szCs w:val="20"/>
        </w:rPr>
        <w:t xml:space="preserve">12</w:t>
      </w:r>
      <w:r>
        <w:rPr>
          <w:color w:val="000000"/>
          <w:sz w:val="24"/>
          <w:szCs w:val="20"/>
        </w:rPr>
        <w:t xml:space="preserve">  </w:t>
      </w:r>
      <w:r>
        <w:rPr>
          <w:rFonts w:hint="eastAsia"/>
          <w:color w:val="000000"/>
          <w:sz w:val="24"/>
          <w:szCs w:val="20"/>
        </w:rPr>
        <w:t xml:space="preserve">项目实施方案等</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rPr>
          <w:color w:val="000000"/>
          <w:sz w:val="24"/>
          <w:szCs w:val="20"/>
        </w:rPr>
      </w:pPr>
      <w:r>
        <w:rPr>
          <w:rFonts w:hint="eastAsia"/>
          <w:color w:val="000000"/>
          <w:sz w:val="24"/>
          <w:szCs w:val="20"/>
        </w:rPr>
        <w:t xml:space="preserve">13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52"/>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rFonts w:hint="eastAsia"/>
          <w:sz w:val="22"/>
        </w:rPr>
      </w:pPr>
      <w:r>
        <w:rPr>
          <w:sz w:val="22"/>
        </w:rPr>
        <w:br w:type="page" w:clear="all"/>
      </w:r>
      <w:bookmarkStart w:id="741" w:name="_Toc288738397"/>
      <w:r/>
      <w:bookmarkStart w:id="742" w:name="_Toc288738839"/>
      <w:r/>
      <w:r/>
    </w:p>
    <w:p>
      <w:pPr>
        <w:rPr>
          <w:color w:val="000000"/>
          <w:sz w:val="24"/>
          <w:szCs w:val="20"/>
        </w:rPr>
      </w:pPr>
      <w:r>
        <w:rPr>
          <w:rFonts w:hint="eastAsia"/>
          <w:color w:val="000000"/>
          <w:sz w:val="24"/>
          <w:szCs w:val="20"/>
        </w:rPr>
        <w:t xml:space="preserve">14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741"/>
      <w:r/>
      <w:bookmarkEnd w:id="742"/>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5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pStyle w:val="843"/>
        <w:rPr>
          <w:rFonts w:hint="eastAsia"/>
        </w:rPr>
      </w:pPr>
      <w:r>
        <w:rPr>
          <w:rFonts w:hint="eastAsia"/>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sz w:val="24"/>
        </w:rPr>
        <w:outlineLvl w:val="2"/>
      </w:pPr>
      <w:r>
        <w:rPr>
          <w:color w:val="000000"/>
          <w:sz w:val="24"/>
          <w:szCs w:val="20"/>
        </w:rPr>
        <w:t xml:space="preserve">1</w:t>
      </w:r>
      <w:r>
        <w:rPr>
          <w:rFonts w:hint="eastAsia"/>
          <w:color w:val="000000"/>
          <w:sz w:val="24"/>
          <w:szCs w:val="20"/>
          <w:lang w:val="en-US" w:eastAsia="zh-CN"/>
        </w:rPr>
        <w:t xml:space="preserve">5</w:t>
      </w:r>
      <w:r>
        <w:rPr>
          <w:color w:val="000000"/>
          <w:sz w:val="24"/>
          <w:szCs w:val="20"/>
        </w:rPr>
        <w:t xml:space="preserve">  磋商文件要求提供或供应商认为应附的其他材料</w:t>
      </w:r>
      <w:r/>
    </w:p>
    <w:p>
      <w:pPr>
        <w:rPr>
          <w:b/>
          <w:sz w:val="36"/>
          <w:szCs w:val="36"/>
        </w:rPr>
      </w:pPr>
      <w:r>
        <w:rPr>
          <w:b/>
          <w:sz w:val="36"/>
          <w:szCs w:val="36"/>
        </w:rPr>
      </w:r>
      <w:r/>
    </w:p>
    <w:p>
      <w:pPr>
        <w:rPr>
          <w:color w:val="000000"/>
          <w:sz w:val="24"/>
          <w:lang w:val="zh-CN"/>
        </w:rPr>
      </w:pPr>
      <w:r>
        <w:rPr>
          <w:color w:val="000000"/>
          <w:sz w:val="24"/>
          <w:szCs w:val="20"/>
        </w:rPr>
        <w:t xml:space="preserve"> </w:t>
      </w:r>
      <w:r/>
    </w:p>
    <w:sectPr>
      <w:headerReference w:type="even" r:id="rId12"/>
      <w:headerReference w:type="first" r:id="rId13"/>
      <w:footerReference w:type="even" r:id="rId24"/>
      <w:footerReference w:type="first" r:id="rId25"/>
      <w:footnotePr/>
      <w:endnotePr/>
      <w:type w:val="nextPage"/>
      <w:pgSz w:w="11907" w:h="16840" w:orient="portrait"/>
      <w:pgMar w:top="1440" w:right="1800" w:bottom="1440" w:left="180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2"/>
      </w:rPr>
      <w:framePr w:wrap="around" w:vAnchor="text" w:hAnchor="margin" w:xAlign="center" w:y="1"/>
    </w:pPr>
    <w:r>
      <w:fldChar w:fldCharType="begin"/>
    </w:r>
    <w:r>
      <w:rPr>
        <w:rStyle w:val="1102"/>
      </w:rPr>
      <w:instrText xml:space="preserve">PAGE  </w:instrText>
    </w:r>
    <w:r>
      <w:fldChar w:fldCharType="end"/>
    </w:r>
    <w:r/>
  </w:p>
  <w:p>
    <w:pPr>
      <w:pStyle w:val="107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2"/>
      </w:rPr>
      <w:framePr w:wrap="around" w:vAnchor="text" w:hAnchor="margin" w:xAlign="right" w:y="1"/>
    </w:pPr>
    <w:r>
      <w:rPr>
        <w:rStyle w:val="1102"/>
      </w:rPr>
      <w:fldChar w:fldCharType="begin"/>
    </w:r>
    <w:r>
      <w:rPr>
        <w:rStyle w:val="1102"/>
      </w:rPr>
      <w:instrText xml:space="preserve">PAGE  </w:instrText>
    </w:r>
    <w:r>
      <w:rPr>
        <w:rStyle w:val="1102"/>
      </w:rPr>
      <w:fldChar w:fldCharType="end"/>
    </w:r>
    <w:r/>
  </w:p>
  <w:p>
    <w:pPr>
      <w:pStyle w:val="107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firstLine="360"/>
      <w:tabs>
        <w:tab w:val="center" w:pos="4153" w:leader="none"/>
        <w:tab w:val="clear" w:pos="7143" w:leader="none"/>
        <w:tab w:val="right" w:pos="8306" w:leader="none"/>
        <w:tab w:val="clear" w:pos="14287"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firstLine="360"/>
      <w:tabs>
        <w:tab w:val="center" w:pos="4153" w:leader="none"/>
        <w:tab w:val="clear" w:pos="7143" w:leader="none"/>
        <w:tab w:val="right" w:pos="8306" w:leader="none"/>
        <w:tab w:val="clear" w:pos="14287"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5"/>
      <w:spacing w:line="196" w:lineRule="auto"/>
      <w:rPr>
        <w:rFonts w:ascii="Times New Roman" w:hAnsi="Times New Roman" w:eastAsia="Times New Roman" w:cs="Times New Roman"/>
        <w:sz w:val="17"/>
        <w:szCs w:val="17"/>
      </w:rPr>
    </w:pPr>
    <w:r>
      <w:rPr>
        <w:rFonts w:ascii="Times New Roman" w:hAnsi="Times New Roman" w:eastAsia="Times New Roman" w:cs="Times New Roman"/>
        <w:sz w:val="17"/>
        <w:szCs w:val="17"/>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2"/>
      </w:rPr>
      <w:framePr w:wrap="around" w:vAnchor="text" w:hAnchor="margin" w:xAlign="right" w:y="1"/>
    </w:pPr>
    <w:r>
      <w:rPr>
        <w:rStyle w:val="1102"/>
      </w:rPr>
      <w:fldChar w:fldCharType="begin"/>
    </w:r>
    <w:r>
      <w:rPr>
        <w:rStyle w:val="1102"/>
      </w:rPr>
      <w:instrText xml:space="preserve">PAGE  </w:instrText>
    </w:r>
    <w:r>
      <w:rPr>
        <w:rStyle w:val="1102"/>
      </w:rPr>
      <w:fldChar w:fldCharType="end"/>
    </w:r>
    <w:r/>
  </w:p>
  <w:p>
    <w:pPr>
      <w:pStyle w:val="1077"/>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
      <w:jc w:val="right"/>
      <w:spacing w:line="229" w:lineRule="auto"/>
      <w:rPr>
        <w:rFonts w:ascii="宋体" w:hAnsi="宋体" w:eastAsia="宋体" w:cs="宋体"/>
        <w:sz w:val="17"/>
        <w:szCs w:val="17"/>
      </w:rPr>
      <w:pBdr>
        <w:bottom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828040</wp:posOffset>
              </wp:positionH>
              <wp:positionV relativeFrom="page">
                <wp:posOffset>701040</wp:posOffset>
              </wp:positionV>
              <wp:extent cx="5904865" cy="9525"/>
              <wp:effectExtent l="0" t="0" r="0" b="0"/>
              <wp:wrapNone/>
              <wp:docPr id="1" name="任意多边形 1025"/>
              <wp:cNvGraphicFramePr/>
              <a:graphic xmlns:a="http://schemas.openxmlformats.org/drawingml/2006/main">
                <a:graphicData uri="http://schemas.microsoft.com/office/word/2010/wordprocessingShape">
                  <wps:wsp>
                    <wps:cNvPr id="0" name=""/>
                    <wps:cNvSpPr/>
                    <wps:spPr bwMode="auto">
                      <a:xfrm>
                        <a:off x="0" y="0"/>
                        <a:ext cx="5904865" cy="9525"/>
                      </a:xfrm>
                      <a:custGeom>
                        <a:avLst/>
                        <a:gdLst/>
                        <a:ahLst/>
                        <a:cxnLst/>
                        <a:rect l="0" t="0" r="r" b="b"/>
                        <a:pathLst>
                          <a:path w="9299" h="15" fill="norm" stroke="1" extrusionOk="0">
                            <a:moveTo>
                              <a:pt x="0" y="0"/>
                            </a:moveTo>
                            <a:lnTo>
                              <a:pt x="9298" y="0"/>
                            </a:lnTo>
                            <a:lnTo>
                              <a:pt x="9298"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65.2pt;mso-position-horizontal:absolute;mso-position-vertical-relative:page;margin-top:55.2pt;mso-position-vertical:absolute;width:464.9pt;height:0.8pt;mso-wrap-distance-left:9.0pt;mso-wrap-distance-top:0.0pt;mso-wrap-distance-right:9.0pt;mso-wrap-distance-bottom:0.0pt;visibility:visible;" path="m0,0l99988,0l99988,93333l0,93333l0,0xe" coordsize="100000,100000" fillcolor="#000000" stroked="f">
              <v:path textboxrect="0,0,0,0"/>
            </v:shape>
          </w:pict>
        </mc:Fallback>
      </mc:AlternateContent>
    </w:r>
    <w:r>
      <w:rPr>
        <w:rFonts w:ascii="宋体" w:hAnsi="宋体" w:eastAsia="宋体" w:cs="宋体"/>
        <w:spacing w:val="13"/>
        <w:sz w:val="17"/>
        <w:szCs w:val="17"/>
      </w:rPr>
      <w:t xml:space="preserve">常</w:t>
    </w:r>
    <w:r>
      <w:rPr>
        <w:rFonts w:ascii="宋体" w:hAnsi="宋体" w:eastAsia="宋体" w:cs="宋体"/>
        <w:spacing w:val="9"/>
        <w:sz w:val="17"/>
        <w:szCs w:val="17"/>
      </w:rPr>
      <w:t xml:space="preserve">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13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3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5"/>
      <w:isLgl w:val="false"/>
      <w:suff w:val="nothing"/>
      <w:lvlText w:val="%1.%2.%3.%4.%5.%6　"/>
      <w:lvlJc w:val="left"/>
      <w:pPr>
        <w:ind w:left="-25" w:firstLine="0"/>
      </w:pPr>
      <w:rPr>
        <w:rFonts w:ascii="Times New Roman" w:hAnsi="Times New Roman" w:eastAsia="宋体"/>
        <w:b/>
        <w:i w:val="0"/>
        <w:sz w:val="28"/>
      </w:rPr>
    </w:lvl>
    <w:lvl w:ilvl="6">
      <w:start w:val="1"/>
      <w:numFmt w:val="lowerLetter"/>
      <w:pStyle w:val="118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21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37"/>
      <w:isLgl w:val="false"/>
      <w:suff w:val="tab"/>
      <w:lvlText w:val="%1"/>
      <w:lvlJc w:val="left"/>
      <w:pPr>
        <w:ind w:left="680" w:hanging="680"/>
      </w:pPr>
      <w:rPr>
        <w:rFonts w:hint="eastAsia" w:ascii="宋体" w:hAnsi="宋体" w:eastAsia="宋体"/>
      </w:rPr>
    </w:lvl>
    <w:lvl w:ilvl="1">
      <w:start w:val="1"/>
      <w:numFmt w:val="decimal"/>
      <w:pStyle w:val="1238"/>
      <w:isLgl w:val="false"/>
      <w:suff w:val="tab"/>
      <w:lvlText w:val="%1.%2"/>
      <w:lvlJc w:val="left"/>
      <w:pPr>
        <w:ind w:left="851" w:hanging="851"/>
      </w:pPr>
      <w:rPr>
        <w:rFonts w:hint="eastAsia" w:ascii="宋体" w:hAnsi="宋体" w:eastAsia="宋体"/>
        <w:color w:val="000000"/>
      </w:rPr>
    </w:lvl>
    <w:lvl w:ilvl="2">
      <w:start w:val="1"/>
      <w:numFmt w:val="decimal"/>
      <w:pStyle w:val="123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3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3"/>
  </w:num>
  <w:num w:numId="5">
    <w:abstractNumId w:val="2"/>
  </w:num>
  <w:num w:numId="6">
    <w:abstractNumId w:val="7"/>
  </w:num>
  <w:num w:numId="7">
    <w:abstractNumId w:val="8"/>
  </w:num>
  <w:num w:numId="8">
    <w:abstractNumId w:val="12"/>
  </w:num>
  <w:num w:numId="9">
    <w:abstractNumId w:val="6"/>
  </w:num>
  <w:num w:numId="10">
    <w:abstractNumId w:val="0"/>
  </w:num>
  <w:num w:numId="11">
    <w:abstractNumId w:val="9"/>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default="1">
    <w:name w:val="Normal"/>
    <w:link w:val="12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name w:val="Heading 1"/>
    <w:basedOn w:val="841"/>
    <w:next w:val="841"/>
    <w:link w:val="882"/>
    <w:uiPriority w:val="9"/>
    <w:qFormat/>
    <w:pPr>
      <w:keepLines/>
      <w:keepNext/>
      <w:spacing w:before="480" w:after="200"/>
      <w:outlineLvl w:val="0"/>
    </w:pPr>
    <w:rPr>
      <w:rFonts w:ascii="Arial" w:hAnsi="Arial" w:eastAsia="Arial" w:cs="Arial"/>
      <w:sz w:val="40"/>
      <w:szCs w:val="40"/>
    </w:rPr>
  </w:style>
  <w:style w:type="paragraph" w:styleId="843">
    <w:name w:val="Heading 2"/>
    <w:basedOn w:val="841"/>
    <w:next w:val="841"/>
    <w:link w:val="883"/>
    <w:uiPriority w:val="9"/>
    <w:unhideWhenUsed/>
    <w:qFormat/>
    <w:pPr>
      <w:keepLines/>
      <w:keepNext/>
      <w:spacing w:before="360" w:after="200"/>
      <w:outlineLvl w:val="1"/>
    </w:pPr>
    <w:rPr>
      <w:rFonts w:ascii="Arial" w:hAnsi="Arial" w:eastAsia="Arial" w:cs="Arial"/>
      <w:sz w:val="34"/>
    </w:rPr>
  </w:style>
  <w:style w:type="paragraph" w:styleId="844">
    <w:name w:val="Heading 3"/>
    <w:basedOn w:val="841"/>
    <w:next w:val="841"/>
    <w:link w:val="884"/>
    <w:uiPriority w:val="9"/>
    <w:unhideWhenUsed/>
    <w:qFormat/>
    <w:pPr>
      <w:keepLines/>
      <w:keepNext/>
      <w:spacing w:before="320" w:after="200"/>
      <w:outlineLvl w:val="2"/>
    </w:pPr>
    <w:rPr>
      <w:rFonts w:ascii="Arial" w:hAnsi="Arial" w:eastAsia="Arial" w:cs="Arial"/>
      <w:sz w:val="30"/>
      <w:szCs w:val="30"/>
    </w:rPr>
  </w:style>
  <w:style w:type="paragraph" w:styleId="845">
    <w:name w:val="Heading 4"/>
    <w:basedOn w:val="841"/>
    <w:next w:val="841"/>
    <w:link w:val="885"/>
    <w:uiPriority w:val="9"/>
    <w:unhideWhenUsed/>
    <w:qFormat/>
    <w:pPr>
      <w:keepLines/>
      <w:keepNext/>
      <w:spacing w:before="320" w:after="200"/>
      <w:outlineLvl w:val="3"/>
    </w:pPr>
    <w:rPr>
      <w:rFonts w:ascii="Arial" w:hAnsi="Arial" w:eastAsia="Arial" w:cs="Arial"/>
      <w:b/>
      <w:bCs/>
      <w:sz w:val="26"/>
      <w:szCs w:val="26"/>
    </w:rPr>
  </w:style>
  <w:style w:type="paragraph" w:styleId="846">
    <w:name w:val="Heading 5"/>
    <w:basedOn w:val="841"/>
    <w:next w:val="841"/>
    <w:link w:val="886"/>
    <w:uiPriority w:val="9"/>
    <w:unhideWhenUsed/>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link w:val="887"/>
    <w:uiPriority w:val="9"/>
    <w:unhideWhenUsed/>
    <w:qFormat/>
    <w:pPr>
      <w:keepLines/>
      <w:keepNext/>
      <w:spacing w:before="320" w:after="200"/>
      <w:outlineLvl w:val="5"/>
    </w:pPr>
    <w:rPr>
      <w:rFonts w:ascii="Arial" w:hAnsi="Arial" w:eastAsia="Arial" w:cs="Arial"/>
      <w:b/>
      <w:bCs/>
      <w:sz w:val="22"/>
      <w:szCs w:val="22"/>
    </w:rPr>
  </w:style>
  <w:style w:type="paragraph" w:styleId="848">
    <w:name w:val="Heading 7"/>
    <w:basedOn w:val="841"/>
    <w:next w:val="841"/>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49">
    <w:name w:val="Heading 8"/>
    <w:basedOn w:val="841"/>
    <w:next w:val="841"/>
    <w:link w:val="889"/>
    <w:uiPriority w:val="9"/>
    <w:unhideWhenUsed/>
    <w:qFormat/>
    <w:pPr>
      <w:keepLines/>
      <w:keepNext/>
      <w:spacing w:before="320" w:after="200"/>
      <w:outlineLvl w:val="7"/>
    </w:pPr>
    <w:rPr>
      <w:rFonts w:ascii="Arial" w:hAnsi="Arial" w:eastAsia="Arial" w:cs="Arial"/>
      <w:i/>
      <w:iCs/>
      <w:sz w:val="22"/>
      <w:szCs w:val="22"/>
    </w:rPr>
  </w:style>
  <w:style w:type="paragraph" w:styleId="850">
    <w:name w:val="Heading 9"/>
    <w:basedOn w:val="841"/>
    <w:next w:val="841"/>
    <w:link w:val="890"/>
    <w:uiPriority w:val="9"/>
    <w:unhideWhenUsed/>
    <w:qFormat/>
    <w:pPr>
      <w:keepLines/>
      <w:keepNext/>
      <w:spacing w:before="320" w:after="200"/>
      <w:outlineLvl w:val="8"/>
    </w:pPr>
    <w:rPr>
      <w:rFonts w:ascii="Arial" w:hAnsi="Arial" w:eastAsia="Arial" w:cs="Arial"/>
      <w:i/>
      <w:iCs/>
      <w:sz w:val="21"/>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toc 7"/>
    <w:basedOn w:val="841"/>
    <w:next w:val="841"/>
    <w:uiPriority w:val="39"/>
    <w:unhideWhenUsed/>
    <w:qFormat/>
    <w:pPr>
      <w:ind w:left="1701" w:right="0" w:firstLine="0"/>
      <w:spacing w:after="57"/>
    </w:pPr>
  </w:style>
  <w:style w:type="paragraph" w:styleId="854">
    <w:name w:val="Normal Indent"/>
    <w:basedOn w:val="841"/>
    <w:next w:val="841"/>
    <w:uiPriority w:val="0"/>
    <w:qFormat/>
    <w:pPr>
      <w:ind w:firstLine="420"/>
      <w:jc w:val="left"/>
    </w:pPr>
    <w:rPr>
      <w:rFonts w:ascii="宋体"/>
      <w:sz w:val="24"/>
    </w:rPr>
  </w:style>
  <w:style w:type="paragraph" w:styleId="855">
    <w:name w:val="Caption"/>
    <w:basedOn w:val="841"/>
    <w:next w:val="8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6">
    <w:name w:val="Body Text"/>
    <w:basedOn w:val="841"/>
    <w:uiPriority w:val="0"/>
    <w:qFormat/>
    <w:pPr>
      <w:spacing w:before="120" w:line="22" w:lineRule="atLeast"/>
      <w:tabs>
        <w:tab w:val="left" w:pos="567" w:leader="none"/>
      </w:tabs>
    </w:pPr>
    <w:rPr>
      <w:rFonts w:ascii="宋体" w:hAnsi="宋体"/>
      <w:sz w:val="24"/>
    </w:rPr>
  </w:style>
  <w:style w:type="paragraph" w:styleId="857">
    <w:name w:val="Body Text Indent"/>
    <w:basedOn w:val="841"/>
    <w:next w:val="841"/>
    <w:uiPriority w:val="0"/>
    <w:qFormat/>
    <w:pPr>
      <w:ind w:firstLine="570"/>
      <w:spacing w:line="360" w:lineRule="auto"/>
    </w:pPr>
    <w:rPr>
      <w:sz w:val="24"/>
    </w:rPr>
  </w:style>
  <w:style w:type="paragraph" w:styleId="858">
    <w:name w:val="toc 5"/>
    <w:basedOn w:val="841"/>
    <w:next w:val="841"/>
    <w:uiPriority w:val="39"/>
    <w:unhideWhenUsed/>
    <w:qFormat/>
    <w:pPr>
      <w:ind w:left="1134" w:right="0" w:firstLine="0"/>
      <w:spacing w:after="57"/>
    </w:pPr>
  </w:style>
  <w:style w:type="paragraph" w:styleId="859">
    <w:name w:val="toc 3"/>
    <w:basedOn w:val="841"/>
    <w:next w:val="841"/>
    <w:uiPriority w:val="39"/>
    <w:unhideWhenUsed/>
    <w:qFormat/>
    <w:pPr>
      <w:ind w:left="567" w:right="0" w:firstLine="0"/>
      <w:spacing w:after="57"/>
    </w:pPr>
  </w:style>
  <w:style w:type="paragraph" w:styleId="860">
    <w:name w:val="Plain Text"/>
    <w:basedOn w:val="841"/>
    <w:uiPriority w:val="0"/>
    <w:qFormat/>
    <w:rPr>
      <w:rFonts w:hint="eastAsia" w:ascii="宋体" w:hAnsi="Courier New"/>
      <w:szCs w:val="20"/>
    </w:rPr>
  </w:style>
  <w:style w:type="paragraph" w:styleId="861">
    <w:name w:val="toc 8"/>
    <w:basedOn w:val="841"/>
    <w:next w:val="841"/>
    <w:uiPriority w:val="39"/>
    <w:unhideWhenUsed/>
    <w:qFormat/>
    <w:pPr>
      <w:ind w:left="1984" w:right="0" w:firstLine="0"/>
      <w:spacing w:after="57"/>
    </w:pPr>
  </w:style>
  <w:style w:type="paragraph" w:styleId="862">
    <w:name w:val="endnote text"/>
    <w:basedOn w:val="841"/>
    <w:link w:val="1028"/>
    <w:uiPriority w:val="99"/>
    <w:semiHidden/>
    <w:unhideWhenUsed/>
    <w:qFormat/>
    <w:pPr>
      <w:spacing w:after="0" w:line="240" w:lineRule="auto"/>
    </w:pPr>
    <w:rPr>
      <w:sz w:val="20"/>
    </w:rPr>
  </w:style>
  <w:style w:type="paragraph" w:styleId="863">
    <w:name w:val="Footer"/>
    <w:basedOn w:val="841"/>
    <w:link w:val="901"/>
    <w:uiPriority w:val="99"/>
    <w:unhideWhenUsed/>
    <w:qFormat/>
    <w:pPr>
      <w:spacing w:after="0" w:line="240" w:lineRule="auto"/>
      <w:tabs>
        <w:tab w:val="center" w:pos="7143" w:leader="none"/>
        <w:tab w:val="right" w:pos="14287" w:leader="none"/>
      </w:tabs>
    </w:pPr>
  </w:style>
  <w:style w:type="paragraph" w:styleId="864">
    <w:name w:val="Header"/>
    <w:basedOn w:val="841"/>
    <w:link w:val="899"/>
    <w:uiPriority w:val="99"/>
    <w:unhideWhenUsed/>
    <w:qFormat/>
    <w:pPr>
      <w:spacing w:after="0" w:line="240" w:lineRule="auto"/>
      <w:tabs>
        <w:tab w:val="center" w:pos="7143" w:leader="none"/>
        <w:tab w:val="right" w:pos="14287" w:leader="none"/>
      </w:tabs>
    </w:pPr>
  </w:style>
  <w:style w:type="paragraph" w:styleId="865">
    <w:name w:val="toc 1"/>
    <w:basedOn w:val="841"/>
    <w:next w:val="841"/>
    <w:uiPriority w:val="39"/>
    <w:unhideWhenUsed/>
    <w:qFormat/>
    <w:pPr>
      <w:ind w:left="0" w:right="0" w:firstLine="0"/>
      <w:spacing w:after="57"/>
    </w:pPr>
  </w:style>
  <w:style w:type="paragraph" w:styleId="866">
    <w:name w:val="toc 4"/>
    <w:basedOn w:val="841"/>
    <w:next w:val="841"/>
    <w:uiPriority w:val="39"/>
    <w:unhideWhenUsed/>
    <w:qFormat/>
    <w:pPr>
      <w:ind w:left="850" w:right="0" w:firstLine="0"/>
      <w:spacing w:after="57"/>
    </w:pPr>
  </w:style>
  <w:style w:type="paragraph" w:styleId="867">
    <w:name w:val="Subtitle"/>
    <w:basedOn w:val="841"/>
    <w:next w:val="841"/>
    <w:link w:val="894"/>
    <w:uiPriority w:val="11"/>
    <w:qFormat/>
    <w:pPr>
      <w:spacing w:before="200" w:after="200"/>
    </w:pPr>
    <w:rPr>
      <w:sz w:val="24"/>
      <w:szCs w:val="24"/>
    </w:rPr>
  </w:style>
  <w:style w:type="paragraph" w:styleId="868">
    <w:name w:val="footnote text"/>
    <w:basedOn w:val="841"/>
    <w:link w:val="1027"/>
    <w:uiPriority w:val="99"/>
    <w:semiHidden/>
    <w:unhideWhenUsed/>
    <w:qFormat/>
    <w:pPr>
      <w:spacing w:after="40" w:line="240" w:lineRule="auto"/>
    </w:pPr>
    <w:rPr>
      <w:sz w:val="18"/>
    </w:rPr>
  </w:style>
  <w:style w:type="paragraph" w:styleId="869">
    <w:name w:val="toc 6"/>
    <w:basedOn w:val="841"/>
    <w:next w:val="841"/>
    <w:uiPriority w:val="39"/>
    <w:unhideWhenUsed/>
    <w:qFormat/>
    <w:pPr>
      <w:ind w:left="1417" w:right="0" w:firstLine="0"/>
      <w:spacing w:after="57"/>
    </w:pPr>
  </w:style>
  <w:style w:type="paragraph" w:styleId="870">
    <w:name w:val="table of figures"/>
    <w:basedOn w:val="841"/>
    <w:next w:val="841"/>
    <w:uiPriority w:val="99"/>
    <w:unhideWhenUsed/>
    <w:qFormat/>
    <w:pPr>
      <w:spacing w:after="0" w:afterAutospacing="0"/>
    </w:pPr>
  </w:style>
  <w:style w:type="paragraph" w:styleId="871">
    <w:name w:val="toc 2"/>
    <w:basedOn w:val="841"/>
    <w:next w:val="841"/>
    <w:uiPriority w:val="39"/>
    <w:unhideWhenUsed/>
    <w:qFormat/>
    <w:pPr>
      <w:ind w:left="283" w:right="0" w:firstLine="0"/>
      <w:spacing w:after="57"/>
    </w:pPr>
  </w:style>
  <w:style w:type="paragraph" w:styleId="872">
    <w:name w:val="toc 9"/>
    <w:basedOn w:val="841"/>
    <w:next w:val="841"/>
    <w:uiPriority w:val="39"/>
    <w:unhideWhenUsed/>
    <w:qFormat/>
    <w:pPr>
      <w:ind w:left="2268" w:right="0" w:firstLine="0"/>
      <w:spacing w:after="57"/>
    </w:pPr>
  </w:style>
  <w:style w:type="paragraph" w:styleId="873">
    <w:name w:val="Normal (Web)"/>
    <w:basedOn w:val="841"/>
    <w:uiPriority w:val="99"/>
    <w:semiHidden/>
    <w:unhideWhenUsed/>
    <w:qFormat/>
    <w:rPr>
      <w:sz w:val="24"/>
    </w:rPr>
  </w:style>
  <w:style w:type="paragraph" w:styleId="874">
    <w:name w:val="Title"/>
    <w:basedOn w:val="841"/>
    <w:next w:val="841"/>
    <w:link w:val="893"/>
    <w:uiPriority w:val="10"/>
    <w:qFormat/>
    <w:pPr>
      <w:contextualSpacing/>
      <w:spacing w:before="300" w:after="200"/>
    </w:pPr>
    <w:rPr>
      <w:sz w:val="48"/>
      <w:szCs w:val="48"/>
    </w:rPr>
  </w:style>
  <w:style w:type="paragraph" w:styleId="875">
    <w:name w:val="Body Text First Indent 2"/>
    <w:basedOn w:val="857"/>
    <w:next w:val="841"/>
    <w:uiPriority w:val="0"/>
    <w:qFormat/>
    <w:pPr>
      <w:ind w:left="420" w:firstLine="420"/>
      <w:spacing w:after="120" w:line="480" w:lineRule="exact"/>
    </w:pPr>
    <w:rPr>
      <w:szCs w:val="20"/>
    </w:rPr>
  </w:style>
  <w:style w:type="table" w:styleId="8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Strong"/>
    <w:basedOn w:val="851"/>
    <w:uiPriority w:val="22"/>
    <w:qFormat/>
    <w:rPr>
      <w:b/>
    </w:rPr>
  </w:style>
  <w:style w:type="character" w:styleId="878">
    <w:name w:val="endnote reference"/>
    <w:uiPriority w:val="99"/>
    <w:semiHidden/>
    <w:unhideWhenUsed/>
    <w:qFormat/>
    <w:rPr>
      <w:vertAlign w:val="superscript"/>
    </w:rPr>
  </w:style>
  <w:style w:type="character" w:styleId="879">
    <w:name w:val="Hyperlink"/>
    <w:uiPriority w:val="99"/>
    <w:unhideWhenUsed/>
    <w:qFormat/>
    <w:rPr>
      <w:color w:val="0000ff" w:themeColor="hyperlink"/>
      <w:u w:val="single"/>
      <w14:textFill>
        <w14:solidFill>
          <w14:schemeClr w14:val="hlink"/>
        </w14:solidFill>
      </w14:textFill>
    </w:rPr>
  </w:style>
  <w:style w:type="character" w:styleId="880">
    <w:name w:val="footnote reference"/>
    <w:uiPriority w:val="99"/>
    <w:unhideWhenUsed/>
    <w:qFormat/>
    <w:rPr>
      <w:vertAlign w:val="superscript"/>
    </w:rPr>
  </w:style>
  <w:style w:type="paragraph" w:styleId="881" w:customStyle="1">
    <w:name w:val="段"/>
    <w:next w:val="841"/>
    <w:uiPriority w:val="0"/>
    <w:qFormat/>
    <w:pPr>
      <w:ind w:firstLine="200"/>
      <w:jc w:val="both"/>
    </w:pPr>
    <w:rPr>
      <w:rFonts w:hint="default" w:ascii="宋体" w:hAnsi="Times New Roman" w:eastAsia="宋体" w:cs="Times New Roman"/>
      <w:sz w:val="21"/>
      <w:szCs w:val="22"/>
      <w:lang w:val="en-US" w:eastAsia="zh-CN" w:bidi="ar-SA"/>
    </w:rPr>
  </w:style>
  <w:style w:type="character" w:styleId="882" w:customStyle="1">
    <w:name w:val="Heading 1 Char"/>
    <w:link w:val="842"/>
    <w:uiPriority w:val="9"/>
    <w:qFormat/>
    <w:rPr>
      <w:rFonts w:ascii="Arial" w:hAnsi="Arial" w:eastAsia="Arial" w:cs="Arial"/>
      <w:sz w:val="40"/>
      <w:szCs w:val="40"/>
    </w:rPr>
  </w:style>
  <w:style w:type="character" w:styleId="883" w:customStyle="1">
    <w:name w:val="Heading 2 Char"/>
    <w:link w:val="843"/>
    <w:uiPriority w:val="9"/>
    <w:qFormat/>
    <w:rPr>
      <w:rFonts w:ascii="Arial" w:hAnsi="Arial" w:eastAsia="Arial" w:cs="Arial"/>
      <w:sz w:val="34"/>
    </w:rPr>
  </w:style>
  <w:style w:type="character" w:styleId="884" w:customStyle="1">
    <w:name w:val="Heading 3 Char"/>
    <w:link w:val="844"/>
    <w:uiPriority w:val="9"/>
    <w:qFormat/>
    <w:rPr>
      <w:rFonts w:ascii="Arial" w:hAnsi="Arial" w:eastAsia="Arial" w:cs="Arial"/>
      <w:sz w:val="30"/>
      <w:szCs w:val="30"/>
    </w:rPr>
  </w:style>
  <w:style w:type="character" w:styleId="885" w:customStyle="1">
    <w:name w:val="Heading 4 Char"/>
    <w:link w:val="845"/>
    <w:uiPriority w:val="9"/>
    <w:qFormat/>
    <w:rPr>
      <w:rFonts w:ascii="Arial" w:hAnsi="Arial" w:eastAsia="Arial" w:cs="Arial"/>
      <w:b/>
      <w:bCs/>
      <w:sz w:val="26"/>
      <w:szCs w:val="26"/>
    </w:rPr>
  </w:style>
  <w:style w:type="character" w:styleId="886" w:customStyle="1">
    <w:name w:val="Heading 5 Char"/>
    <w:link w:val="846"/>
    <w:uiPriority w:val="9"/>
    <w:qFormat/>
    <w:rPr>
      <w:rFonts w:ascii="Arial" w:hAnsi="Arial" w:eastAsia="Arial" w:cs="Arial"/>
      <w:b/>
      <w:bCs/>
      <w:sz w:val="24"/>
      <w:szCs w:val="24"/>
    </w:rPr>
  </w:style>
  <w:style w:type="character" w:styleId="887" w:customStyle="1">
    <w:name w:val="Heading 6 Char"/>
    <w:link w:val="847"/>
    <w:uiPriority w:val="9"/>
    <w:qFormat/>
    <w:rPr>
      <w:rFonts w:ascii="Arial" w:hAnsi="Arial" w:eastAsia="Arial" w:cs="Arial"/>
      <w:b/>
      <w:bCs/>
      <w:sz w:val="22"/>
      <w:szCs w:val="22"/>
    </w:rPr>
  </w:style>
  <w:style w:type="character" w:styleId="888" w:customStyle="1">
    <w:name w:val="Heading 7 Char"/>
    <w:link w:val="848"/>
    <w:uiPriority w:val="9"/>
    <w:qFormat/>
    <w:rPr>
      <w:rFonts w:ascii="Arial" w:hAnsi="Arial" w:eastAsia="Arial" w:cs="Arial"/>
      <w:b/>
      <w:bCs/>
      <w:i/>
      <w:iCs/>
      <w:sz w:val="22"/>
      <w:szCs w:val="22"/>
    </w:rPr>
  </w:style>
  <w:style w:type="character" w:styleId="889" w:customStyle="1">
    <w:name w:val="Heading 8 Char"/>
    <w:link w:val="849"/>
    <w:uiPriority w:val="9"/>
    <w:qFormat/>
    <w:rPr>
      <w:rFonts w:ascii="Arial" w:hAnsi="Arial" w:eastAsia="Arial" w:cs="Arial"/>
      <w:i/>
      <w:iCs/>
      <w:sz w:val="22"/>
      <w:szCs w:val="22"/>
    </w:rPr>
  </w:style>
  <w:style w:type="character" w:styleId="890" w:customStyle="1">
    <w:name w:val="Heading 9 Char"/>
    <w:link w:val="850"/>
    <w:uiPriority w:val="9"/>
    <w:qFormat/>
    <w:rPr>
      <w:rFonts w:ascii="Arial" w:hAnsi="Arial" w:eastAsia="Arial" w:cs="Arial"/>
      <w:i/>
      <w:iCs/>
      <w:sz w:val="21"/>
      <w:szCs w:val="21"/>
    </w:rPr>
  </w:style>
  <w:style w:type="paragraph" w:styleId="891">
    <w:name w:val="List Paragraph"/>
    <w:basedOn w:val="841"/>
    <w:uiPriority w:val="34"/>
    <w:qFormat/>
    <w:pPr>
      <w:contextualSpacing/>
      <w:ind w:left="720"/>
    </w:pPr>
  </w:style>
  <w:style w:type="paragraph" w:styleId="892">
    <w:name w:val="No Spacing"/>
    <w:uiPriority w:val="1"/>
    <w:qFormat/>
    <w:pPr>
      <w:spacing w:before="0" w:after="0" w:line="240" w:lineRule="auto"/>
    </w:pPr>
    <w:rPr>
      <w:rFonts w:hint="default" w:ascii="Times New Roman" w:hAnsi="Times New Roman" w:eastAsia="宋体" w:cs="Times New Roman"/>
    </w:rPr>
  </w:style>
  <w:style w:type="character" w:styleId="893" w:customStyle="1">
    <w:name w:val="Title Char"/>
    <w:link w:val="874"/>
    <w:uiPriority w:val="10"/>
    <w:qFormat/>
    <w:rPr>
      <w:sz w:val="48"/>
      <w:szCs w:val="48"/>
    </w:rPr>
  </w:style>
  <w:style w:type="character" w:styleId="894" w:customStyle="1">
    <w:name w:val="Subtitle Char"/>
    <w:link w:val="867"/>
    <w:uiPriority w:val="11"/>
    <w:qFormat/>
    <w:rPr>
      <w:sz w:val="24"/>
      <w:szCs w:val="24"/>
    </w:rPr>
  </w:style>
  <w:style w:type="paragraph" w:styleId="895">
    <w:name w:val="Quote"/>
    <w:basedOn w:val="841"/>
    <w:next w:val="841"/>
    <w:link w:val="896"/>
    <w:uiPriority w:val="29"/>
    <w:qFormat/>
    <w:pPr>
      <w:ind w:left="720" w:right="720"/>
    </w:pPr>
    <w:rPr>
      <w:i/>
    </w:rPr>
  </w:style>
  <w:style w:type="character" w:styleId="896" w:customStyle="1">
    <w:name w:val="Quote Char"/>
    <w:link w:val="895"/>
    <w:uiPriority w:val="29"/>
    <w:qFormat/>
    <w:rPr>
      <w:i/>
    </w:rPr>
  </w:style>
  <w:style w:type="paragraph" w:styleId="897">
    <w:name w:val="Intense Quote"/>
    <w:basedOn w:val="841"/>
    <w:next w:val="841"/>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Intense Quote Char"/>
    <w:link w:val="897"/>
    <w:uiPriority w:val="30"/>
    <w:qFormat/>
    <w:rPr>
      <w:i/>
    </w:rPr>
  </w:style>
  <w:style w:type="character" w:styleId="899" w:customStyle="1">
    <w:name w:val="Header Char"/>
    <w:link w:val="864"/>
    <w:uiPriority w:val="99"/>
    <w:qFormat/>
  </w:style>
  <w:style w:type="character" w:styleId="900" w:customStyle="1">
    <w:name w:val="Footer Char"/>
    <w:link w:val="863"/>
    <w:uiPriority w:val="99"/>
    <w:qFormat/>
  </w:style>
  <w:style w:type="character" w:styleId="901" w:customStyle="1">
    <w:name w:val="Caption Char"/>
    <w:link w:val="863"/>
    <w:uiPriority w:val="99"/>
    <w:qFormat/>
  </w:style>
  <w:style w:type="table" w:styleId="9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Footnote Text Char"/>
    <w:link w:val="868"/>
    <w:uiPriority w:val="99"/>
    <w:qFormat/>
    <w:rPr>
      <w:sz w:val="18"/>
    </w:rPr>
  </w:style>
  <w:style w:type="character" w:styleId="1028" w:customStyle="1">
    <w:name w:val="Endnote Text Char"/>
    <w:link w:val="862"/>
    <w:uiPriority w:val="99"/>
    <w:qFormat/>
    <w:rPr>
      <w:sz w:val="20"/>
    </w:rPr>
  </w:style>
  <w:style w:type="paragraph" w:styleId="1029" w:customStyle="1">
    <w:name w:val="TOC Heading"/>
    <w:uiPriority w:val="39"/>
    <w:unhideWhenUsed/>
    <w:qFormat/>
    <w:rPr>
      <w:rFonts w:hint="default" w:ascii="Times New Roman" w:hAnsi="Times New Roman" w:eastAsia="宋体" w:cs="Times New Roman"/>
    </w:rPr>
  </w:style>
  <w:style w:type="paragraph" w:styleId="1030" w:customStyle="1">
    <w:name w:val="标题 11"/>
    <w:basedOn w:val="841"/>
    <w:next w:val="841"/>
    <w:link w:val="1042"/>
    <w:uiPriority w:val="0"/>
    <w:qFormat/>
    <w:pPr>
      <w:jc w:val="center"/>
      <w:keepLines/>
      <w:keepNext/>
      <w:spacing w:before="240" w:after="120" w:line="300" w:lineRule="auto"/>
      <w:outlineLvl w:val="0"/>
    </w:pPr>
    <w:rPr>
      <w:rFonts w:ascii="宋体"/>
      <w:b/>
      <w:sz w:val="32"/>
      <w:szCs w:val="20"/>
    </w:rPr>
  </w:style>
  <w:style w:type="paragraph" w:styleId="1031" w:customStyle="1">
    <w:name w:val="标题 21"/>
    <w:basedOn w:val="841"/>
    <w:next w:val="841"/>
    <w:link w:val="1043"/>
    <w:uiPriority w:val="0"/>
    <w:qFormat/>
    <w:pPr>
      <w:jc w:val="center"/>
      <w:keepLines/>
      <w:keepNext/>
      <w:spacing w:before="120" w:line="300" w:lineRule="auto"/>
      <w:outlineLvl w:val="1"/>
    </w:pPr>
    <w:rPr>
      <w:rFonts w:ascii="Arial" w:hAnsi="Arial" w:eastAsia="黑体"/>
      <w:b/>
      <w:sz w:val="30"/>
      <w:szCs w:val="20"/>
    </w:rPr>
  </w:style>
  <w:style w:type="paragraph" w:styleId="1032" w:customStyle="1">
    <w:name w:val="标题 31"/>
    <w:basedOn w:val="841"/>
    <w:next w:val="1033"/>
    <w:link w:val="1044"/>
    <w:uiPriority w:val="0"/>
    <w:qFormat/>
    <w:pPr>
      <w:jc w:val="left"/>
      <w:keepLines/>
      <w:keepNext/>
      <w:spacing w:before="360" w:after="120"/>
      <w:outlineLvl w:val="2"/>
    </w:pPr>
    <w:rPr>
      <w:rFonts w:ascii="宋体"/>
      <w:b/>
      <w:sz w:val="24"/>
      <w:szCs w:val="20"/>
      <w:u w:val="single"/>
    </w:rPr>
  </w:style>
  <w:style w:type="paragraph" w:styleId="1033" w:customStyle="1">
    <w:name w:val="正文缩进11"/>
    <w:basedOn w:val="841"/>
    <w:link w:val="1045"/>
    <w:uiPriority w:val="0"/>
    <w:qFormat/>
    <w:pPr>
      <w:ind w:firstLine="420"/>
      <w:jc w:val="left"/>
    </w:pPr>
    <w:rPr>
      <w:rFonts w:ascii="宋体"/>
      <w:sz w:val="24"/>
    </w:rPr>
  </w:style>
  <w:style w:type="paragraph" w:styleId="1034" w:customStyle="1">
    <w:name w:val="标题 41"/>
    <w:basedOn w:val="841"/>
    <w:next w:val="841"/>
    <w:link w:val="1046"/>
    <w:uiPriority w:val="0"/>
    <w:qFormat/>
    <w:pPr>
      <w:keepLines/>
      <w:keepNext/>
      <w:spacing w:before="280" w:after="290" w:line="376" w:lineRule="atLeast"/>
      <w:outlineLvl w:val="3"/>
    </w:pPr>
    <w:rPr>
      <w:rFonts w:ascii="Arial" w:hAnsi="Arial" w:eastAsia="黑体"/>
      <w:b/>
      <w:sz w:val="28"/>
      <w:szCs w:val="20"/>
    </w:rPr>
  </w:style>
  <w:style w:type="paragraph" w:styleId="1035" w:customStyle="1">
    <w:name w:val="标题 51"/>
    <w:basedOn w:val="841"/>
    <w:next w:val="841"/>
    <w:link w:val="1047"/>
    <w:uiPriority w:val="0"/>
    <w:qFormat/>
    <w:pPr>
      <w:keepLines/>
      <w:keepNext/>
      <w:spacing w:before="280" w:after="290" w:line="376" w:lineRule="atLeast"/>
      <w:outlineLvl w:val="4"/>
    </w:pPr>
    <w:rPr>
      <w:b/>
      <w:sz w:val="28"/>
      <w:szCs w:val="20"/>
    </w:rPr>
  </w:style>
  <w:style w:type="paragraph" w:styleId="1036" w:customStyle="1">
    <w:name w:val="标题 61"/>
    <w:basedOn w:val="841"/>
    <w:next w:val="841"/>
    <w:link w:val="1048"/>
    <w:uiPriority w:val="0"/>
    <w:qFormat/>
    <w:pPr>
      <w:keepLines/>
      <w:keepNext/>
      <w:spacing w:before="240" w:after="64" w:line="320" w:lineRule="atLeast"/>
      <w:outlineLvl w:val="5"/>
    </w:pPr>
    <w:rPr>
      <w:rFonts w:ascii="Arial" w:hAnsi="Arial" w:eastAsia="黑体"/>
      <w:b/>
      <w:sz w:val="24"/>
      <w:szCs w:val="20"/>
    </w:rPr>
  </w:style>
  <w:style w:type="paragraph" w:styleId="1037" w:customStyle="1">
    <w:name w:val="标题 71"/>
    <w:basedOn w:val="841"/>
    <w:next w:val="841"/>
    <w:link w:val="1049"/>
    <w:uiPriority w:val="0"/>
    <w:qFormat/>
    <w:pPr>
      <w:keepLines/>
      <w:keepNext/>
      <w:spacing w:before="240" w:after="64" w:line="320" w:lineRule="atLeast"/>
      <w:outlineLvl w:val="6"/>
    </w:pPr>
    <w:rPr>
      <w:b/>
      <w:sz w:val="24"/>
      <w:szCs w:val="20"/>
    </w:rPr>
  </w:style>
  <w:style w:type="paragraph" w:styleId="1038" w:customStyle="1">
    <w:name w:val="标题 81"/>
    <w:basedOn w:val="841"/>
    <w:next w:val="841"/>
    <w:link w:val="1050"/>
    <w:uiPriority w:val="0"/>
    <w:qFormat/>
    <w:pPr>
      <w:keepLines/>
      <w:keepNext/>
      <w:spacing w:before="240" w:after="64" w:line="320" w:lineRule="atLeast"/>
      <w:outlineLvl w:val="7"/>
    </w:pPr>
    <w:rPr>
      <w:rFonts w:ascii="Arial" w:hAnsi="Arial" w:eastAsia="黑体"/>
      <w:sz w:val="24"/>
      <w:szCs w:val="20"/>
    </w:rPr>
  </w:style>
  <w:style w:type="paragraph" w:styleId="1039" w:customStyle="1">
    <w:name w:val="标题 91"/>
    <w:basedOn w:val="841"/>
    <w:next w:val="841"/>
    <w:link w:val="1051"/>
    <w:uiPriority w:val="0"/>
    <w:qFormat/>
    <w:pPr>
      <w:keepLines/>
      <w:keepNext/>
      <w:spacing w:before="240" w:after="64" w:line="320" w:lineRule="atLeast"/>
      <w:outlineLvl w:val="8"/>
    </w:pPr>
    <w:rPr>
      <w:rFonts w:ascii="Arial" w:hAnsi="Arial" w:eastAsia="黑体"/>
      <w:szCs w:val="20"/>
    </w:rPr>
  </w:style>
  <w:style w:type="character" w:styleId="1040" w:customStyle="1">
    <w:name w:val="默认段落字体1"/>
    <w:link w:val="841"/>
    <w:uiPriority w:val="1"/>
    <w:unhideWhenUsed/>
    <w:qFormat/>
  </w:style>
  <w:style w:type="table" w:styleId="1041" w:customStyle="1">
    <w:name w:val="普通表格1"/>
    <w:uiPriority w:val="99"/>
    <w:unhideWhenUsed/>
    <w:qFormat/>
    <w:tblPr/>
  </w:style>
  <w:style w:type="character" w:styleId="1042" w:customStyle="1">
    <w:name w:val="标题 1 Char"/>
    <w:basedOn w:val="1040"/>
    <w:link w:val="1030"/>
    <w:uiPriority w:val="0"/>
    <w:qFormat/>
    <w:rPr>
      <w:rFonts w:ascii="宋体"/>
      <w:b/>
      <w:sz w:val="32"/>
    </w:rPr>
  </w:style>
  <w:style w:type="character" w:styleId="1043" w:customStyle="1">
    <w:name w:val="标题 2 Char1"/>
    <w:link w:val="1031"/>
    <w:uiPriority w:val="0"/>
    <w:qFormat/>
    <w:rPr>
      <w:rFonts w:ascii="Arial" w:hAnsi="Arial" w:eastAsia="黑体"/>
      <w:b/>
      <w:sz w:val="30"/>
      <w:lang w:val="en-US" w:eastAsia="zh-CN" w:bidi="ar-SA"/>
    </w:rPr>
  </w:style>
  <w:style w:type="character" w:styleId="1044" w:customStyle="1">
    <w:name w:val="标题 3 Char1"/>
    <w:link w:val="1032"/>
    <w:uiPriority w:val="0"/>
    <w:qFormat/>
    <w:rPr>
      <w:rFonts w:ascii="宋体" w:eastAsia="宋体"/>
      <w:b/>
      <w:sz w:val="24"/>
      <w:u w:val="single"/>
      <w:lang w:val="en-US" w:eastAsia="zh-CN" w:bidi="ar-SA"/>
    </w:rPr>
  </w:style>
  <w:style w:type="character" w:styleId="1045" w:customStyle="1">
    <w:name w:val="正文缩进 Char1"/>
    <w:link w:val="1033"/>
    <w:uiPriority w:val="0"/>
    <w:qFormat/>
    <w:rPr>
      <w:rFonts w:ascii="宋体" w:eastAsia="宋体"/>
      <w:sz w:val="24"/>
      <w:szCs w:val="24"/>
      <w:lang w:val="en-US" w:eastAsia="zh-CN" w:bidi="ar-SA"/>
    </w:rPr>
  </w:style>
  <w:style w:type="character" w:styleId="1046" w:customStyle="1">
    <w:name w:val="标题 4 Char"/>
    <w:basedOn w:val="1040"/>
    <w:link w:val="1034"/>
    <w:uiPriority w:val="0"/>
    <w:qFormat/>
    <w:rPr>
      <w:rFonts w:ascii="Arial" w:hAnsi="Arial" w:eastAsia="黑体"/>
      <w:b/>
      <w:sz w:val="28"/>
    </w:rPr>
  </w:style>
  <w:style w:type="character" w:styleId="1047" w:customStyle="1">
    <w:name w:val="标题 5 Char"/>
    <w:basedOn w:val="1040"/>
    <w:link w:val="1035"/>
    <w:uiPriority w:val="0"/>
    <w:qFormat/>
    <w:rPr>
      <w:b/>
      <w:sz w:val="28"/>
    </w:rPr>
  </w:style>
  <w:style w:type="character" w:styleId="1048" w:customStyle="1">
    <w:name w:val="标题 6 Char"/>
    <w:basedOn w:val="1040"/>
    <w:link w:val="1036"/>
    <w:uiPriority w:val="0"/>
    <w:qFormat/>
    <w:rPr>
      <w:rFonts w:ascii="Arial" w:hAnsi="Arial" w:eastAsia="黑体"/>
      <w:b/>
      <w:sz w:val="24"/>
    </w:rPr>
  </w:style>
  <w:style w:type="character" w:styleId="1049" w:customStyle="1">
    <w:name w:val="标题 7 Char"/>
    <w:basedOn w:val="1040"/>
    <w:link w:val="1037"/>
    <w:uiPriority w:val="0"/>
    <w:qFormat/>
    <w:rPr>
      <w:b/>
      <w:sz w:val="24"/>
    </w:rPr>
  </w:style>
  <w:style w:type="character" w:styleId="1050" w:customStyle="1">
    <w:name w:val="标题 8 Char"/>
    <w:basedOn w:val="1040"/>
    <w:link w:val="1038"/>
    <w:uiPriority w:val="0"/>
    <w:qFormat/>
    <w:rPr>
      <w:rFonts w:ascii="Arial" w:hAnsi="Arial" w:eastAsia="黑体"/>
      <w:sz w:val="24"/>
    </w:rPr>
  </w:style>
  <w:style w:type="character" w:styleId="1051" w:customStyle="1">
    <w:name w:val="标题 9 Char"/>
    <w:basedOn w:val="1040"/>
    <w:link w:val="1039"/>
    <w:uiPriority w:val="0"/>
    <w:qFormat/>
    <w:rPr>
      <w:rFonts w:ascii="Arial" w:hAnsi="Arial" w:eastAsia="黑体"/>
      <w:sz w:val="21"/>
    </w:rPr>
  </w:style>
  <w:style w:type="paragraph" w:styleId="1052" w:customStyle="1">
    <w:name w:val="目录 71"/>
    <w:basedOn w:val="841"/>
    <w:next w:val="841"/>
    <w:uiPriority w:val="0"/>
    <w:qFormat/>
    <w:pPr>
      <w:ind w:left="2520"/>
    </w:pPr>
  </w:style>
  <w:style w:type="paragraph" w:styleId="1053" w:customStyle="1">
    <w:name w:val="题注1"/>
    <w:basedOn w:val="841"/>
    <w:next w:val="841"/>
    <w:uiPriority w:val="0"/>
    <w:qFormat/>
    <w:pPr>
      <w:spacing w:line="480" w:lineRule="auto"/>
    </w:pPr>
    <w:rPr>
      <w:rFonts w:ascii="华文中宋" w:hAnsi="华文中宋" w:eastAsia="华文中宋"/>
      <w:sz w:val="36"/>
      <w:szCs w:val="20"/>
    </w:rPr>
  </w:style>
  <w:style w:type="paragraph" w:styleId="1054" w:customStyle="1">
    <w:name w:val="文档结构图1"/>
    <w:basedOn w:val="841"/>
    <w:link w:val="1055"/>
    <w:uiPriority w:val="0"/>
    <w:qFormat/>
    <w:pPr>
      <w:shd w:val="clear" w:color="auto" w:fill="000080"/>
    </w:pPr>
  </w:style>
  <w:style w:type="character" w:styleId="1055" w:customStyle="1">
    <w:name w:val="文档结构图 Char"/>
    <w:basedOn w:val="1040"/>
    <w:link w:val="1054"/>
    <w:uiPriority w:val="0"/>
    <w:qFormat/>
    <w:rPr>
      <w:sz w:val="21"/>
      <w:szCs w:val="24"/>
      <w:shd w:val="clear" w:color="auto" w:fill="000080"/>
    </w:rPr>
  </w:style>
  <w:style w:type="paragraph" w:styleId="1056" w:customStyle="1">
    <w:name w:val="批注文字1"/>
    <w:basedOn w:val="841"/>
    <w:link w:val="1057"/>
    <w:uiPriority w:val="99"/>
    <w:qFormat/>
    <w:pPr>
      <w:jc w:val="left"/>
    </w:pPr>
  </w:style>
  <w:style w:type="character" w:styleId="1057" w:customStyle="1">
    <w:name w:val="批注文字 Char1"/>
    <w:link w:val="1056"/>
    <w:uiPriority w:val="99"/>
    <w:qFormat/>
    <w:rPr>
      <w:sz w:val="21"/>
      <w:szCs w:val="24"/>
    </w:rPr>
  </w:style>
  <w:style w:type="paragraph" w:styleId="1058" w:customStyle="1">
    <w:name w:val="正文文本 31"/>
    <w:basedOn w:val="841"/>
    <w:link w:val="1059"/>
    <w:uiPriority w:val="0"/>
    <w:qFormat/>
    <w:pPr>
      <w:spacing w:after="120"/>
    </w:pPr>
    <w:rPr>
      <w:sz w:val="16"/>
      <w:szCs w:val="16"/>
    </w:rPr>
  </w:style>
  <w:style w:type="character" w:styleId="1059" w:customStyle="1">
    <w:name w:val="正文文本 3 Char"/>
    <w:basedOn w:val="1040"/>
    <w:link w:val="1058"/>
    <w:uiPriority w:val="0"/>
    <w:qFormat/>
    <w:rPr>
      <w:sz w:val="16"/>
      <w:szCs w:val="16"/>
    </w:rPr>
  </w:style>
  <w:style w:type="paragraph" w:styleId="1060" w:customStyle="1">
    <w:name w:val="正文文本1"/>
    <w:basedOn w:val="841"/>
    <w:link w:val="1061"/>
    <w:uiPriority w:val="0"/>
    <w:qFormat/>
    <w:pPr>
      <w:spacing w:before="120" w:line="22" w:lineRule="atLeast"/>
      <w:tabs>
        <w:tab w:val="left" w:pos="567" w:leader="none"/>
      </w:tabs>
    </w:pPr>
    <w:rPr>
      <w:rFonts w:ascii="宋体" w:hAnsi="宋体"/>
      <w:sz w:val="24"/>
    </w:rPr>
  </w:style>
  <w:style w:type="character" w:styleId="1061" w:customStyle="1">
    <w:name w:val="正文文本 Char"/>
    <w:basedOn w:val="1040"/>
    <w:link w:val="1060"/>
    <w:uiPriority w:val="0"/>
    <w:qFormat/>
    <w:rPr>
      <w:rFonts w:ascii="宋体" w:hAnsi="宋体"/>
      <w:sz w:val="24"/>
      <w:szCs w:val="24"/>
    </w:rPr>
  </w:style>
  <w:style w:type="paragraph" w:styleId="1062" w:customStyle="1">
    <w:name w:val="正文文本缩进11"/>
    <w:basedOn w:val="841"/>
    <w:link w:val="1063"/>
    <w:uiPriority w:val="0"/>
    <w:qFormat/>
    <w:pPr>
      <w:ind w:firstLine="570"/>
      <w:spacing w:line="360" w:lineRule="auto"/>
    </w:pPr>
    <w:rPr>
      <w:sz w:val="24"/>
    </w:rPr>
  </w:style>
  <w:style w:type="character" w:styleId="1063" w:customStyle="1">
    <w:name w:val="正文文本缩进 Char2"/>
    <w:link w:val="1062"/>
    <w:uiPriority w:val="0"/>
    <w:qFormat/>
    <w:rPr>
      <w:rFonts w:eastAsia="宋体"/>
      <w:sz w:val="24"/>
      <w:szCs w:val="24"/>
      <w:lang w:val="en-US" w:eastAsia="zh-CN" w:bidi="ar-SA"/>
    </w:rPr>
  </w:style>
  <w:style w:type="paragraph" w:styleId="1064" w:customStyle="1">
    <w:name w:val="列表 21"/>
    <w:basedOn w:val="841"/>
    <w:uiPriority w:val="0"/>
    <w:qFormat/>
    <w:pPr>
      <w:ind w:left="100" w:hanging="200"/>
    </w:pPr>
  </w:style>
  <w:style w:type="paragraph" w:styleId="1065" w:customStyle="1">
    <w:name w:val="文本块1"/>
    <w:basedOn w:val="841"/>
    <w:uiPriority w:val="0"/>
    <w:qFormat/>
    <w:pPr>
      <w:ind w:left="480" w:right="-341" w:firstLine="513"/>
      <w:widowControl/>
    </w:pPr>
    <w:rPr>
      <w:sz w:val="24"/>
      <w:szCs w:val="20"/>
    </w:rPr>
  </w:style>
  <w:style w:type="paragraph" w:styleId="1066" w:customStyle="1">
    <w:name w:val="目录 51"/>
    <w:basedOn w:val="841"/>
    <w:next w:val="841"/>
    <w:uiPriority w:val="0"/>
    <w:qFormat/>
    <w:pPr>
      <w:ind w:left="1680"/>
    </w:pPr>
  </w:style>
  <w:style w:type="paragraph" w:styleId="1067" w:customStyle="1">
    <w:name w:val="目录 31"/>
    <w:basedOn w:val="841"/>
    <w:next w:val="841"/>
    <w:uiPriority w:val="39"/>
    <w:qFormat/>
    <w:pPr>
      <w:ind w:left="840"/>
    </w:pPr>
  </w:style>
  <w:style w:type="paragraph" w:styleId="1068" w:customStyle="1">
    <w:name w:val="纯文本1"/>
    <w:basedOn w:val="841"/>
    <w:link w:val="1069"/>
    <w:uiPriority w:val="0"/>
    <w:qFormat/>
    <w:rPr>
      <w:rFonts w:hint="eastAsia" w:ascii="宋体" w:hAnsi="Courier New"/>
      <w:szCs w:val="20"/>
    </w:rPr>
  </w:style>
  <w:style w:type="character" w:styleId="1069" w:customStyle="1">
    <w:name w:val="纯文本 Char"/>
    <w:basedOn w:val="1040"/>
    <w:link w:val="1068"/>
    <w:uiPriority w:val="0"/>
    <w:qFormat/>
    <w:rPr>
      <w:rFonts w:hint="eastAsia" w:ascii="宋体" w:hAnsi="Courier New" w:eastAsia="宋体" w:cs="宋体"/>
      <w:sz w:val="21"/>
    </w:rPr>
  </w:style>
  <w:style w:type="paragraph" w:styleId="1070" w:customStyle="1">
    <w:name w:val="目录 81"/>
    <w:basedOn w:val="841"/>
    <w:next w:val="841"/>
    <w:uiPriority w:val="0"/>
    <w:qFormat/>
    <w:pPr>
      <w:ind w:left="2940"/>
    </w:pPr>
  </w:style>
  <w:style w:type="paragraph" w:styleId="1071" w:customStyle="1">
    <w:name w:val="日期1"/>
    <w:basedOn w:val="841"/>
    <w:next w:val="841"/>
    <w:link w:val="1072"/>
    <w:uiPriority w:val="0"/>
    <w:qFormat/>
    <w:pPr>
      <w:ind w:left="100"/>
    </w:pPr>
    <w:rPr>
      <w:rFonts w:ascii="仿宋_GB2312" w:hAnsi="宋体" w:eastAsia="仿宋_GB2312"/>
      <w:color w:val="000000"/>
      <w:sz w:val="24"/>
    </w:rPr>
  </w:style>
  <w:style w:type="character" w:styleId="1072" w:customStyle="1">
    <w:name w:val="日期 Char"/>
    <w:basedOn w:val="1040"/>
    <w:link w:val="1071"/>
    <w:uiPriority w:val="0"/>
    <w:qFormat/>
    <w:rPr>
      <w:rFonts w:ascii="仿宋_GB2312" w:hAnsi="宋体" w:eastAsia="仿宋_GB2312"/>
      <w:color w:val="000000"/>
      <w:sz w:val="24"/>
      <w:szCs w:val="24"/>
    </w:rPr>
  </w:style>
  <w:style w:type="paragraph" w:styleId="1073" w:customStyle="1">
    <w:name w:val="正文文本缩进 21"/>
    <w:basedOn w:val="841"/>
    <w:link w:val="1074"/>
    <w:uiPriority w:val="0"/>
    <w:qFormat/>
    <w:pPr>
      <w:ind w:firstLine="480"/>
    </w:pPr>
    <w:rPr>
      <w:rFonts w:ascii="仿宋_GB2312" w:eastAsia="仿宋_GB2312"/>
      <w:sz w:val="24"/>
    </w:rPr>
  </w:style>
  <w:style w:type="character" w:styleId="1074" w:customStyle="1">
    <w:name w:val="正文文本缩进 2 Char"/>
    <w:basedOn w:val="1040"/>
    <w:link w:val="1073"/>
    <w:uiPriority w:val="0"/>
    <w:qFormat/>
    <w:rPr>
      <w:rFonts w:ascii="仿宋_GB2312" w:eastAsia="仿宋_GB2312"/>
      <w:sz w:val="24"/>
      <w:szCs w:val="24"/>
    </w:rPr>
  </w:style>
  <w:style w:type="paragraph" w:styleId="1075" w:customStyle="1">
    <w:name w:val="批注框文本1"/>
    <w:basedOn w:val="841"/>
    <w:link w:val="1076"/>
    <w:uiPriority w:val="0"/>
    <w:qFormat/>
    <w:rPr>
      <w:sz w:val="18"/>
      <w:szCs w:val="18"/>
    </w:rPr>
  </w:style>
  <w:style w:type="character" w:styleId="1076" w:customStyle="1">
    <w:name w:val="批注框文本 Char"/>
    <w:basedOn w:val="1040"/>
    <w:link w:val="1075"/>
    <w:uiPriority w:val="0"/>
    <w:qFormat/>
    <w:rPr>
      <w:sz w:val="18"/>
      <w:szCs w:val="18"/>
    </w:rPr>
  </w:style>
  <w:style w:type="paragraph" w:styleId="1077" w:customStyle="1">
    <w:name w:val="页脚1"/>
    <w:basedOn w:val="841"/>
    <w:link w:val="1078"/>
    <w:uiPriority w:val="99"/>
    <w:qFormat/>
    <w:pPr>
      <w:jc w:val="left"/>
      <w:tabs>
        <w:tab w:val="center" w:pos="4153" w:leader="none"/>
        <w:tab w:val="right" w:pos="8306" w:leader="none"/>
      </w:tabs>
    </w:pPr>
    <w:rPr>
      <w:rFonts w:ascii="宋体"/>
      <w:sz w:val="18"/>
      <w:szCs w:val="20"/>
    </w:rPr>
  </w:style>
  <w:style w:type="character" w:styleId="1078" w:customStyle="1">
    <w:name w:val="页脚 Char1"/>
    <w:link w:val="1077"/>
    <w:uiPriority w:val="99"/>
    <w:qFormat/>
    <w:rPr>
      <w:rFonts w:ascii="宋体" w:eastAsia="宋体"/>
      <w:sz w:val="18"/>
      <w:lang w:val="en-US" w:eastAsia="zh-CN" w:bidi="ar-SA"/>
    </w:rPr>
  </w:style>
  <w:style w:type="paragraph" w:styleId="1079" w:customStyle="1">
    <w:name w:val="页眉1"/>
    <w:basedOn w:val="841"/>
    <w:link w:val="1080"/>
    <w:uiPriority w:val="0"/>
    <w:qFormat/>
    <w:pPr>
      <w:jc w:val="center"/>
      <w:tabs>
        <w:tab w:val="center" w:pos="4153" w:leader="none"/>
        <w:tab w:val="right" w:pos="8306" w:leader="none"/>
      </w:tabs>
      <w:pBdr>
        <w:bottom w:val="single" w:color="000000" w:sz="6" w:space="1"/>
      </w:pBdr>
    </w:pPr>
    <w:rPr>
      <w:sz w:val="18"/>
      <w:szCs w:val="18"/>
    </w:rPr>
  </w:style>
  <w:style w:type="character" w:styleId="1080" w:customStyle="1">
    <w:name w:val="页眉 Char1"/>
    <w:link w:val="1079"/>
    <w:uiPriority w:val="0"/>
    <w:qFormat/>
    <w:rPr>
      <w:rFonts w:eastAsia="宋体"/>
      <w:sz w:val="18"/>
      <w:szCs w:val="18"/>
      <w:lang w:val="en-US" w:eastAsia="zh-CN" w:bidi="ar-SA"/>
    </w:rPr>
  </w:style>
  <w:style w:type="paragraph" w:styleId="1081" w:customStyle="1">
    <w:name w:val="目录 11"/>
    <w:basedOn w:val="841"/>
    <w:next w:val="841"/>
    <w:uiPriority w:val="39"/>
    <w:qFormat/>
    <w:pPr>
      <w:spacing w:line="300" w:lineRule="auto"/>
      <w:tabs>
        <w:tab w:val="left" w:pos="1050" w:leader="none"/>
        <w:tab w:val="right" w:pos="8937" w:leader="dot"/>
      </w:tabs>
    </w:pPr>
    <w:rPr>
      <w:rFonts w:ascii="宋体" w:hAnsi="宋体"/>
      <w:b/>
      <w:sz w:val="24"/>
    </w:rPr>
  </w:style>
  <w:style w:type="paragraph" w:styleId="1082" w:customStyle="1">
    <w:name w:val="目录 41"/>
    <w:basedOn w:val="841"/>
    <w:next w:val="841"/>
    <w:uiPriority w:val="0"/>
    <w:qFormat/>
    <w:pPr>
      <w:ind w:left="1260"/>
    </w:pPr>
  </w:style>
  <w:style w:type="paragraph" w:styleId="1083" w:customStyle="1">
    <w:name w:val="目录 61"/>
    <w:basedOn w:val="841"/>
    <w:next w:val="841"/>
    <w:uiPriority w:val="0"/>
    <w:qFormat/>
    <w:pPr>
      <w:ind w:left="2100"/>
    </w:pPr>
  </w:style>
  <w:style w:type="paragraph" w:styleId="1084" w:customStyle="1">
    <w:name w:val="正文文本缩进 31"/>
    <w:basedOn w:val="841"/>
    <w:link w:val="1085"/>
    <w:uiPriority w:val="0"/>
    <w:qFormat/>
    <w:pPr>
      <w:ind w:left="720" w:firstLine="480"/>
      <w:jc w:val="left"/>
      <w:spacing w:before="120" w:line="22" w:lineRule="atLeast"/>
    </w:pPr>
    <w:rPr>
      <w:rFonts w:ascii="宋体"/>
      <w:sz w:val="24"/>
      <w:szCs w:val="20"/>
    </w:rPr>
  </w:style>
  <w:style w:type="character" w:styleId="1085" w:customStyle="1">
    <w:name w:val="正文文本缩进 3 Char"/>
    <w:basedOn w:val="1040"/>
    <w:link w:val="1084"/>
    <w:uiPriority w:val="0"/>
    <w:qFormat/>
    <w:rPr>
      <w:rFonts w:ascii="宋体"/>
      <w:sz w:val="24"/>
    </w:rPr>
  </w:style>
  <w:style w:type="paragraph" w:styleId="1086" w:customStyle="1">
    <w:name w:val="目录 21"/>
    <w:basedOn w:val="841"/>
    <w:next w:val="841"/>
    <w:uiPriority w:val="39"/>
    <w:qFormat/>
    <w:pPr>
      <w:ind w:left="420"/>
      <w:spacing w:line="312" w:lineRule="auto"/>
      <w:tabs>
        <w:tab w:val="right" w:pos="8937" w:leader="dot"/>
      </w:tabs>
    </w:pPr>
  </w:style>
  <w:style w:type="paragraph" w:styleId="1087" w:customStyle="1">
    <w:name w:val="目录 91"/>
    <w:basedOn w:val="841"/>
    <w:next w:val="841"/>
    <w:uiPriority w:val="0"/>
    <w:qFormat/>
    <w:pPr>
      <w:ind w:left="3360"/>
    </w:pPr>
  </w:style>
  <w:style w:type="paragraph" w:styleId="1088" w:customStyle="1">
    <w:name w:val="HTML 预设格式1"/>
    <w:basedOn w:val="841"/>
    <w:link w:val="10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9" w:customStyle="1">
    <w:name w:val="HTML 预设格式 Char"/>
    <w:basedOn w:val="1040"/>
    <w:link w:val="1088"/>
    <w:uiPriority w:val="0"/>
    <w:qFormat/>
    <w:rPr>
      <w:rFonts w:ascii="宋体" w:hAnsi="宋体" w:cs="宋体"/>
      <w:sz w:val="24"/>
      <w:szCs w:val="24"/>
    </w:rPr>
  </w:style>
  <w:style w:type="paragraph" w:styleId="1090" w:customStyle="1">
    <w:name w:val="普通(网站)1"/>
    <w:basedOn w:val="841"/>
    <w:uiPriority w:val="99"/>
    <w:unhideWhenUsed/>
    <w:qFormat/>
    <w:pPr>
      <w:jc w:val="left"/>
      <w:spacing w:before="100" w:beforeAutospacing="1" w:after="100" w:afterAutospacing="1"/>
      <w:widowControl/>
    </w:pPr>
    <w:rPr>
      <w:rFonts w:ascii="宋体" w:hAnsi="宋体" w:cs="宋体"/>
      <w:sz w:val="24"/>
    </w:rPr>
  </w:style>
  <w:style w:type="paragraph" w:styleId="1091" w:customStyle="1">
    <w:name w:val="索引 11"/>
    <w:basedOn w:val="841"/>
    <w:next w:val="841"/>
    <w:uiPriority w:val="0"/>
    <w:qFormat/>
    <w:rPr>
      <w:szCs w:val="20"/>
    </w:rPr>
  </w:style>
  <w:style w:type="paragraph" w:styleId="1092" w:customStyle="1">
    <w:name w:val="标题1"/>
    <w:basedOn w:val="841"/>
    <w:link w:val="1093"/>
    <w:uiPriority w:val="0"/>
    <w:qFormat/>
    <w:pPr>
      <w:jc w:val="center"/>
      <w:outlineLvl w:val="0"/>
    </w:pPr>
    <w:rPr>
      <w:b/>
      <w:sz w:val="32"/>
      <w:szCs w:val="20"/>
    </w:rPr>
  </w:style>
  <w:style w:type="character" w:styleId="1093" w:customStyle="1">
    <w:name w:val="标题 Char1"/>
    <w:link w:val="1092"/>
    <w:uiPriority w:val="0"/>
    <w:qFormat/>
    <w:rPr>
      <w:b/>
      <w:sz w:val="32"/>
    </w:rPr>
  </w:style>
  <w:style w:type="paragraph" w:styleId="1094" w:customStyle="1">
    <w:name w:val="批注主题1"/>
    <w:basedOn w:val="1056"/>
    <w:next w:val="1056"/>
    <w:link w:val="1095"/>
    <w:uiPriority w:val="0"/>
    <w:qFormat/>
    <w:rPr>
      <w:b/>
      <w:bCs/>
    </w:rPr>
  </w:style>
  <w:style w:type="character" w:styleId="1095" w:customStyle="1">
    <w:name w:val="批注主题 Char"/>
    <w:basedOn w:val="1096"/>
    <w:link w:val="1094"/>
    <w:uiPriority w:val="0"/>
    <w:qFormat/>
    <w:rPr>
      <w:rFonts w:ascii="Times New Roman" w:hAnsi="Times New Roman" w:eastAsia="宋体" w:cs="Times New Roman"/>
      <w:b/>
      <w:bCs/>
      <w:sz w:val="21"/>
      <w:szCs w:val="24"/>
      <w:lang w:val="en-US" w:eastAsia="zh-CN" w:bidi="ar-SA"/>
    </w:rPr>
  </w:style>
  <w:style w:type="character" w:styleId="1096" w:customStyle="1">
    <w:name w:val="批注文字 字符"/>
    <w:link w:val="841"/>
    <w:uiPriority w:val="99"/>
    <w:qFormat/>
    <w:rPr>
      <w:rFonts w:ascii="Times New Roman" w:hAnsi="Times New Roman" w:eastAsia="宋体" w:cs="Times New Roman"/>
      <w:sz w:val="24"/>
      <w:lang w:val="en-US" w:eastAsia="zh-CN" w:bidi="ar-SA"/>
    </w:rPr>
  </w:style>
  <w:style w:type="paragraph" w:styleId="1097" w:customStyle="1">
    <w:name w:val="正文首行缩进 21"/>
    <w:basedOn w:val="1062"/>
    <w:link w:val="1098"/>
    <w:uiPriority w:val="0"/>
    <w:qFormat/>
    <w:pPr>
      <w:ind w:left="420" w:firstLine="420"/>
      <w:spacing w:after="120" w:line="480" w:lineRule="exact"/>
    </w:pPr>
    <w:rPr>
      <w:szCs w:val="20"/>
    </w:rPr>
  </w:style>
  <w:style w:type="character" w:styleId="1098" w:customStyle="1">
    <w:name w:val="正文首行缩进 2 Char"/>
    <w:basedOn w:val="1063"/>
    <w:link w:val="1097"/>
    <w:uiPriority w:val="0"/>
    <w:qFormat/>
    <w:rPr>
      <w:rFonts w:eastAsia="宋体"/>
      <w:sz w:val="24"/>
      <w:szCs w:val="24"/>
      <w:lang w:val="en-US" w:eastAsia="zh-CN" w:bidi="ar-SA"/>
    </w:rPr>
  </w:style>
  <w:style w:type="table" w:styleId="1099" w:customStyle="1">
    <w:name w:val="网格型1"/>
    <w:basedOn w:val="1041"/>
    <w:uiPriority w:val="39"/>
    <w:qFormat/>
    <w:tblPr/>
  </w:style>
  <w:style w:type="table" w:styleId="1100" w:customStyle="1">
    <w:name w:val="中等深浅网格 1 - 强调文字颜色 21"/>
    <w:basedOn w:val="1041"/>
    <w:uiPriority w:val="0"/>
    <w:qFormat/>
    <w:rPr>
      <w:sz w:val="21"/>
      <w:szCs w:val="24"/>
    </w:rPr>
    <w:tblPr/>
  </w:style>
  <w:style w:type="character" w:styleId="1101" w:customStyle="1">
    <w:name w:val="要点1"/>
    <w:link w:val="841"/>
    <w:uiPriority w:val="0"/>
    <w:qFormat/>
    <w:rPr>
      <w:b/>
      <w:bCs/>
    </w:rPr>
  </w:style>
  <w:style w:type="character" w:styleId="1102" w:customStyle="1">
    <w:name w:val="页码1"/>
    <w:basedOn w:val="1040"/>
    <w:link w:val="841"/>
    <w:uiPriority w:val="0"/>
    <w:qFormat/>
  </w:style>
  <w:style w:type="character" w:styleId="1103" w:customStyle="1">
    <w:name w:val="已访问的超链接1"/>
    <w:link w:val="841"/>
    <w:uiPriority w:val="0"/>
    <w:qFormat/>
    <w:rPr>
      <w:color w:val="800080"/>
      <w:u w:val="single"/>
    </w:rPr>
  </w:style>
  <w:style w:type="character" w:styleId="1104" w:customStyle="1">
    <w:name w:val="强调1"/>
    <w:link w:val="841"/>
    <w:uiPriority w:val="0"/>
    <w:qFormat/>
    <w:rPr>
      <w:color w:val="cc0033"/>
    </w:rPr>
  </w:style>
  <w:style w:type="character" w:styleId="1105" w:customStyle="1">
    <w:name w:val="超链接1"/>
    <w:link w:val="841"/>
    <w:uiPriority w:val="99"/>
    <w:qFormat/>
    <w:rPr>
      <w:color w:val="0000ff"/>
      <w:u w:val="single"/>
    </w:rPr>
  </w:style>
  <w:style w:type="character" w:styleId="1106" w:customStyle="1">
    <w:name w:val="批注引用1"/>
    <w:link w:val="841"/>
    <w:uiPriority w:val="99"/>
    <w:qFormat/>
    <w:rPr>
      <w:sz w:val="21"/>
      <w:szCs w:val="21"/>
    </w:rPr>
  </w:style>
  <w:style w:type="character" w:styleId="1107" w:customStyle="1">
    <w:name w:val="HTML 引文1"/>
    <w:link w:val="841"/>
    <w:uiPriority w:val="0"/>
    <w:qFormat/>
    <w:rPr>
      <w:i/>
      <w:iCs/>
    </w:rPr>
  </w:style>
  <w:style w:type="character" w:styleId="1108" w:customStyle="1">
    <w:name w:val="c21"/>
    <w:link w:val="841"/>
    <w:uiPriority w:val="0"/>
    <w:qFormat/>
    <w:rPr>
      <w:rFonts w:ascii="ˎ̥" w:hAnsi="ˎ̥"/>
      <w:color w:val="000000"/>
      <w:sz w:val="20"/>
      <w:szCs w:val="20"/>
      <w:u w:val="none"/>
    </w:rPr>
  </w:style>
  <w:style w:type="character" w:styleId="1109" w:customStyle="1">
    <w:name w:val="title4"/>
    <w:link w:val="841"/>
    <w:uiPriority w:val="0"/>
    <w:qFormat/>
    <w:rPr>
      <w:b/>
      <w:bCs/>
      <w:color w:val="1d87b3"/>
      <w:sz w:val="15"/>
      <w:szCs w:val="15"/>
    </w:rPr>
  </w:style>
  <w:style w:type="character" w:styleId="1110" w:customStyle="1">
    <w:name w:val="标题 2 Char Char"/>
    <w:link w:val="841"/>
    <w:uiPriority w:val="0"/>
    <w:qFormat/>
    <w:rPr>
      <w:rFonts w:ascii="Arial" w:hAnsi="Arial" w:eastAsia="黑体"/>
      <w:b/>
      <w:bCs/>
      <w:sz w:val="32"/>
      <w:szCs w:val="32"/>
      <w:lang w:val="en-US" w:eastAsia="zh-CN" w:bidi="ar-SA"/>
    </w:rPr>
  </w:style>
  <w:style w:type="character" w:styleId="1111" w:customStyle="1">
    <w:name w:val="black1"/>
    <w:link w:val="841"/>
    <w:uiPriority w:val="0"/>
    <w:qFormat/>
    <w:rPr>
      <w:color w:val="000000"/>
    </w:rPr>
  </w:style>
  <w:style w:type="character" w:styleId="1112" w:customStyle="1">
    <w:name w:val="street-address"/>
    <w:basedOn w:val="1040"/>
    <w:link w:val="841"/>
    <w:uiPriority w:val="0"/>
    <w:qFormat/>
  </w:style>
  <w:style w:type="character" w:styleId="1113" w:customStyle="1">
    <w:name w:val="locality"/>
    <w:basedOn w:val="1040"/>
    <w:link w:val="841"/>
    <w:uiPriority w:val="0"/>
    <w:qFormat/>
  </w:style>
  <w:style w:type="character" w:styleId="1114" w:customStyle="1">
    <w:name w:val="正文文本缩进 Char1"/>
    <w:link w:val="1115"/>
    <w:uiPriority w:val="0"/>
    <w:qFormat/>
    <w:rPr>
      <w:rFonts w:ascii="宋体" w:hAnsi="宋体" w:eastAsia="宋体"/>
      <w:sz w:val="24"/>
      <w:szCs w:val="24"/>
      <w:lang w:bidi="ar-SA"/>
    </w:rPr>
  </w:style>
  <w:style w:type="paragraph" w:styleId="1115" w:customStyle="1">
    <w:name w:val="正文文本缩进1"/>
    <w:basedOn w:val="841"/>
    <w:link w:val="1114"/>
    <w:uiPriority w:val="0"/>
    <w:qFormat/>
    <w:pPr>
      <w:ind w:firstLine="480"/>
      <w:spacing w:line="480" w:lineRule="exact"/>
    </w:pPr>
    <w:rPr>
      <w:rFonts w:ascii="宋体" w:hAnsi="宋体"/>
      <w:sz w:val="24"/>
    </w:rPr>
  </w:style>
  <w:style w:type="character" w:styleId="1116" w:customStyle="1">
    <w:name w:val="Char Char11"/>
    <w:link w:val="841"/>
    <w:uiPriority w:val="0"/>
    <w:qFormat/>
    <w:rPr>
      <w:rFonts w:ascii="宋体" w:eastAsia="宋体"/>
      <w:b/>
      <w:sz w:val="24"/>
      <w:u w:val="single"/>
      <w:lang w:val="en-US" w:eastAsia="zh-CN" w:bidi="ar-SA"/>
    </w:rPr>
  </w:style>
  <w:style w:type="character" w:styleId="1117" w:customStyle="1">
    <w:name w:val="txt"/>
    <w:basedOn w:val="1040"/>
    <w:link w:val="841"/>
    <w:uiPriority w:val="0"/>
    <w:qFormat/>
  </w:style>
  <w:style w:type="character" w:styleId="1118" w:customStyle="1">
    <w:name w:val="正文缩进 Char Char"/>
    <w:link w:val="1119"/>
    <w:uiPriority w:val="0"/>
    <w:qFormat/>
    <w:rPr>
      <w:rFonts w:ascii="宋体" w:eastAsia="宋体"/>
      <w:color w:val="000000"/>
      <w:sz w:val="28"/>
      <w:lang w:bidi="ar-SA"/>
    </w:rPr>
  </w:style>
  <w:style w:type="paragraph" w:styleId="1119" w:customStyle="1">
    <w:name w:val="正文缩进1"/>
    <w:basedOn w:val="841"/>
    <w:link w:val="1118"/>
    <w:uiPriority w:val="0"/>
    <w:qFormat/>
    <w:pPr>
      <w:ind w:firstLine="567"/>
      <w:spacing w:line="480" w:lineRule="exact"/>
      <w:widowControl/>
    </w:pPr>
    <w:rPr>
      <w:rFonts w:ascii="宋体"/>
      <w:color w:val="000000"/>
      <w:sz w:val="28"/>
      <w:szCs w:val="20"/>
    </w:rPr>
  </w:style>
  <w:style w:type="character" w:styleId="1120" w:customStyle="1">
    <w:name w:val="普通文字1 Char1"/>
    <w:link w:val="841"/>
    <w:uiPriority w:val="0"/>
    <w:qFormat/>
    <w:rPr>
      <w:rFonts w:ascii="宋体" w:hAnsi="Courier New" w:eastAsia="宋体"/>
      <w:sz w:val="21"/>
      <w:lang w:val="en-US" w:eastAsia="zh-CN" w:bidi="ar-SA"/>
    </w:rPr>
  </w:style>
  <w:style w:type="character" w:styleId="1121" w:customStyle="1">
    <w:name w:val="chanpin1"/>
    <w:link w:val="841"/>
    <w:uiPriority w:val="0"/>
    <w:qFormat/>
    <w:rPr>
      <w:rFonts w:ascii="ˎ̥" w:hAnsi="ˎ̥"/>
      <w:color w:val="000000"/>
      <w:sz w:val="20"/>
      <w:szCs w:val="20"/>
      <w:u w:val="none"/>
    </w:rPr>
  </w:style>
  <w:style w:type="character" w:styleId="1122" w:customStyle="1">
    <w:name w:val="列出段落 Char1"/>
    <w:link w:val="1123"/>
    <w:uiPriority w:val="34"/>
    <w:qFormat/>
    <w:rPr>
      <w:rFonts w:ascii="Calibri" w:hAnsi="Calibri" w:eastAsia="宋体"/>
      <w:sz w:val="21"/>
      <w:szCs w:val="22"/>
      <w:lang w:val="en-US" w:eastAsia="zh-CN" w:bidi="ar-SA"/>
    </w:rPr>
  </w:style>
  <w:style w:type="paragraph" w:styleId="1123" w:customStyle="1">
    <w:name w:val="列出段落"/>
    <w:basedOn w:val="841"/>
    <w:link w:val="1122"/>
    <w:uiPriority w:val="34"/>
    <w:qFormat/>
    <w:pPr>
      <w:ind w:firstLine="420"/>
    </w:pPr>
    <w:rPr>
      <w:rFonts w:ascii="Calibri" w:hAnsi="Calibri"/>
      <w:szCs w:val="22"/>
    </w:rPr>
  </w:style>
  <w:style w:type="character" w:styleId="1124" w:customStyle="1">
    <w:name w:val="标题 3 Char Char"/>
    <w:link w:val="841"/>
    <w:uiPriority w:val="0"/>
    <w:qFormat/>
    <w:rPr>
      <w:rFonts w:eastAsia="宋体"/>
      <w:b/>
      <w:bCs/>
      <w:sz w:val="32"/>
      <w:szCs w:val="32"/>
      <w:lang w:val="en-US" w:eastAsia="zh-CN" w:bidi="ar-SA"/>
    </w:rPr>
  </w:style>
  <w:style w:type="character" w:styleId="1125" w:customStyle="1">
    <w:name w:val="段1 Char"/>
    <w:link w:val="841"/>
    <w:uiPriority w:val="0"/>
    <w:qFormat/>
    <w:rPr>
      <w:rFonts w:ascii="宋体" w:eastAsia="宋体"/>
      <w:sz w:val="24"/>
      <w:lang w:val="en-US" w:eastAsia="zh-CN" w:bidi="ar-SA"/>
    </w:rPr>
  </w:style>
  <w:style w:type="character" w:styleId="1126" w:customStyle="1">
    <w:name w:val="chanpin拷贝"/>
    <w:basedOn w:val="1040"/>
    <w:link w:val="841"/>
    <w:uiPriority w:val="0"/>
    <w:qFormat/>
  </w:style>
  <w:style w:type="character" w:styleId="1127" w:customStyle="1">
    <w:name w:val="纯文本 Char1"/>
    <w:link w:val="841"/>
    <w:uiPriority w:val="0"/>
    <w:qFormat/>
    <w:rPr>
      <w:rFonts w:ascii="宋体" w:hAnsi="Courier New" w:eastAsia="宋体"/>
      <w:sz w:val="21"/>
      <w:lang w:val="en-US" w:eastAsia="zh-CN" w:bidi="ar-SA"/>
    </w:rPr>
  </w:style>
  <w:style w:type="character" w:styleId="1128" w:customStyle="1">
    <w:name w:val="apple-style-span"/>
    <w:link w:val="841"/>
    <w:uiPriority w:val="0"/>
    <w:qFormat/>
    <w:rPr>
      <w:rFonts w:cs="Times New Roman"/>
    </w:rPr>
  </w:style>
  <w:style w:type="paragraph" w:styleId="1129" w:customStyle="1">
    <w:name w:val="二级条标题"/>
    <w:basedOn w:val="1130"/>
    <w:next w:val="84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0" w:customStyle="1">
    <w:name w:val="一级条标题"/>
    <w:basedOn w:val="1131"/>
    <w:next w:val="841"/>
    <w:uiPriority w:val="0"/>
    <w:qFormat/>
    <w:pPr>
      <w:numPr>
        <w:ilvl w:val="1"/>
      </w:numPr>
      <w:ind w:left="0" w:hanging="840"/>
      <w:tabs>
        <w:tab w:val="left" w:pos="360" w:leader="none"/>
        <w:tab w:val="left" w:pos="840" w:leader="none"/>
      </w:tabs>
      <w:outlineLvl w:val="1"/>
    </w:pPr>
  </w:style>
  <w:style w:type="paragraph" w:styleId="1131" w:customStyle="1">
    <w:name w:val="章标题"/>
    <w:next w:val="841"/>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32" w:customStyle="1">
    <w:name w:val="font7"/>
    <w:basedOn w:val="841"/>
    <w:uiPriority w:val="0"/>
    <w:qFormat/>
    <w:pPr>
      <w:jc w:val="left"/>
      <w:spacing w:before="100" w:beforeAutospacing="1" w:after="100" w:afterAutospacing="1"/>
      <w:widowControl/>
    </w:pPr>
    <w:rPr>
      <w:rFonts w:eastAsia="Arial Unicode MS"/>
      <w:b/>
      <w:bCs/>
      <w:color w:val="000000"/>
      <w:sz w:val="20"/>
      <w:szCs w:val="20"/>
    </w:rPr>
  </w:style>
  <w:style w:type="paragraph" w:styleId="1133" w:customStyle="1">
    <w:name w:val="字元 字元"/>
    <w:basedOn w:val="841"/>
    <w:uiPriority w:val="0"/>
    <w:qFormat/>
    <w:rPr>
      <w:rFonts w:ascii="Tahoma" w:hAnsi="Tahoma"/>
      <w:sz w:val="24"/>
      <w:szCs w:val="20"/>
    </w:rPr>
  </w:style>
  <w:style w:type="paragraph" w:styleId="1134" w:customStyle="1">
    <w:name w:val="Char3 Char Char Char"/>
    <w:basedOn w:val="841"/>
    <w:uiPriority w:val="0"/>
    <w:qFormat/>
    <w:rPr>
      <w:rFonts w:ascii="Tahoma" w:hAnsi="Tahoma"/>
      <w:sz w:val="24"/>
      <w:szCs w:val="20"/>
    </w:rPr>
  </w:style>
  <w:style w:type="paragraph" w:styleId="1135" w:customStyle="1">
    <w:name w:val="font6"/>
    <w:basedOn w:val="841"/>
    <w:uiPriority w:val="0"/>
    <w:qFormat/>
    <w:pPr>
      <w:jc w:val="left"/>
      <w:spacing w:before="100" w:beforeAutospacing="1" w:after="100" w:afterAutospacing="1"/>
      <w:widowControl/>
    </w:pPr>
    <w:rPr>
      <w:rFonts w:ascii="宋体" w:hAnsi="宋体" w:cs="宋体"/>
      <w:sz w:val="20"/>
      <w:szCs w:val="20"/>
    </w:rPr>
  </w:style>
  <w:style w:type="paragraph" w:styleId="1136" w:customStyle="1">
    <w:name w:val="项目编号2"/>
    <w:basedOn w:val="1137"/>
    <w:uiPriority w:val="0"/>
    <w:qFormat/>
    <w:pPr>
      <w:numPr>
        <w:numId w:val="2"/>
      </w:numPr>
    </w:pPr>
  </w:style>
  <w:style w:type="paragraph" w:styleId="1137" w:customStyle="1">
    <w:name w:val="项目编号1"/>
    <w:basedOn w:val="841"/>
    <w:uiPriority w:val="0"/>
    <w:qFormat/>
    <w:pPr>
      <w:numPr>
        <w:ilvl w:val="0"/>
        <w:numId w:val="3"/>
      </w:numPr>
      <w:spacing w:before="100" w:beforeAutospacing="1" w:after="100" w:afterAutospacing="1" w:line="360" w:lineRule="auto"/>
    </w:pPr>
    <w:rPr>
      <w:sz w:val="24"/>
    </w:rPr>
  </w:style>
  <w:style w:type="paragraph" w:styleId="1138" w:customStyle="1">
    <w:name w:val="图中文字"/>
    <w:basedOn w:val="841"/>
    <w:uiPriority w:val="0"/>
    <w:qFormat/>
    <w:pPr>
      <w:jc w:val="center"/>
      <w:spacing w:line="0" w:lineRule="atLeast"/>
    </w:pPr>
    <w:rPr>
      <w:sz w:val="24"/>
      <w:szCs w:val="20"/>
    </w:rPr>
  </w:style>
  <w:style w:type="paragraph" w:styleId="1139" w:customStyle="1">
    <w:name w:val="xl46"/>
    <w:basedOn w:val="84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0" w:customStyle="1">
    <w:name w:val="xl25"/>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1" w:customStyle="1">
    <w:name w:val="Char2"/>
    <w:basedOn w:val="841"/>
    <w:uiPriority w:val="0"/>
    <w:qFormat/>
    <w:rPr>
      <w:rFonts w:ascii="Tahoma" w:hAnsi="Tahoma"/>
      <w:sz w:val="24"/>
      <w:szCs w:val="20"/>
    </w:rPr>
  </w:style>
  <w:style w:type="paragraph" w:styleId="1142" w:customStyle="1">
    <w:name w:val="xl35"/>
    <w:basedOn w:val="8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3" w:customStyle="1">
    <w:name w:val="xl40"/>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4" w:customStyle="1">
    <w:name w:val="xl52"/>
    <w:basedOn w:val="84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5" w:customStyle="1">
    <w:name w:val="xl43"/>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6" w:customStyle="1">
    <w:name w:val="background1"/>
    <w:basedOn w:val="841"/>
    <w:uiPriority w:val="0"/>
    <w:qFormat/>
    <w:pPr>
      <w:jc w:val="left"/>
      <w:spacing w:before="100" w:beforeAutospacing="1" w:after="100" w:afterAutospacing="1"/>
      <w:widowControl/>
    </w:pPr>
    <w:rPr>
      <w:rFonts w:ascii="宋体" w:hAnsi="宋体" w:cs="宋体"/>
      <w:sz w:val="24"/>
    </w:rPr>
  </w:style>
  <w:style w:type="paragraph" w:styleId="1147" w:customStyle="1">
    <w:name w:val="Char Char Char Char Char Char Char"/>
    <w:basedOn w:val="841"/>
    <w:uiPriority w:val="0"/>
    <w:qFormat/>
    <w:pPr>
      <w:ind w:firstLine="200"/>
      <w:spacing w:line="360" w:lineRule="auto"/>
    </w:pPr>
    <w:rPr>
      <w:rFonts w:eastAsia="仿宋_GB2312"/>
      <w:sz w:val="24"/>
    </w:rPr>
  </w:style>
  <w:style w:type="paragraph" w:styleId="1148" w:customStyle="1">
    <w:name w:val="xl38"/>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9" w:customStyle="1">
    <w:name w:val="xl36"/>
    <w:basedOn w:val="84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customStyle="1">
    <w:name w:val="正文 + 宋体"/>
    <w:basedOn w:val="841"/>
    <w:uiPriority w:val="0"/>
    <w:qFormat/>
    <w:pPr>
      <w:ind w:left="360" w:hanging="360"/>
      <w:jc w:val="left"/>
      <w:widowControl/>
    </w:pPr>
    <w:rPr>
      <w:rFonts w:ascii="宋体" w:hAnsi="宋体" w:cs="宋体"/>
      <w:b/>
      <w:bCs/>
      <w:color w:val="000000"/>
      <w:sz w:val="18"/>
      <w:szCs w:val="18"/>
    </w:rPr>
  </w:style>
  <w:style w:type="paragraph" w:styleId="1151" w:customStyle="1">
    <w:name w:val="正文列项_数字"/>
    <w:basedOn w:val="84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2" w:customStyle="1">
    <w:name w:val="xl39"/>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3" w:customStyle="1">
    <w:name w:val="xl37"/>
    <w:basedOn w:val="8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customStyle="1">
    <w:name w:val="xl32"/>
    <w:basedOn w:val="84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customStyle="1">
    <w:name w:val="font8"/>
    <w:basedOn w:val="841"/>
    <w:uiPriority w:val="0"/>
    <w:qFormat/>
    <w:pPr>
      <w:jc w:val="left"/>
      <w:spacing w:before="100" w:beforeAutospacing="1" w:after="100" w:afterAutospacing="1"/>
      <w:widowControl/>
    </w:pPr>
    <w:rPr>
      <w:sz w:val="36"/>
      <w:szCs w:val="36"/>
    </w:rPr>
  </w:style>
  <w:style w:type="paragraph" w:styleId="1156" w:customStyle="1">
    <w:name w:val="Char"/>
    <w:basedOn w:val="841"/>
    <w:uiPriority w:val="0"/>
    <w:qFormat/>
    <w:pPr>
      <w:tabs>
        <w:tab w:val="left" w:pos="360" w:leader="none"/>
      </w:tabs>
    </w:pPr>
    <w:rPr>
      <w:sz w:val="24"/>
    </w:rPr>
  </w:style>
  <w:style w:type="paragraph" w:styleId="1157" w:customStyle="1">
    <w:name w:val="Char Char Char Char Char Char Char Char Char Char Char Char Char Char Char Char"/>
    <w:basedOn w:val="841"/>
    <w:uiPriority w:val="0"/>
    <w:qFormat/>
    <w:pPr>
      <w:jc w:val="center"/>
      <w:spacing w:after="160" w:line="240" w:lineRule="exact"/>
      <w:widowControl/>
    </w:pPr>
    <w:rPr>
      <w:rFonts w:ascii="宋体" w:hAnsi="宋体"/>
      <w:b/>
      <w:sz w:val="30"/>
      <w:szCs w:val="30"/>
      <w:lang w:eastAsia="en-US"/>
    </w:rPr>
  </w:style>
  <w:style w:type="paragraph" w:styleId="1158" w:customStyle="1">
    <w:name w:val="xl45"/>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9" w:customStyle="1">
    <w:name w:val="Char Char1 Char Char Char Char Char Char"/>
    <w:basedOn w:val="841"/>
    <w:uiPriority w:val="0"/>
    <w:qFormat/>
    <w:pPr>
      <w:jc w:val="left"/>
      <w:spacing w:after="160" w:line="240" w:lineRule="exact"/>
      <w:widowControl/>
    </w:pPr>
    <w:rPr>
      <w:rFonts w:ascii="Verdana" w:hAnsi="Verdana" w:eastAsia="仿宋_GB2312"/>
      <w:sz w:val="24"/>
      <w:szCs w:val="20"/>
      <w:lang w:eastAsia="en-US"/>
    </w:rPr>
  </w:style>
  <w:style w:type="paragraph" w:styleId="1160" w:customStyle="1">
    <w:name w:val="Char Char1"/>
    <w:basedOn w:val="1054"/>
    <w:uiPriority w:val="0"/>
    <w:qFormat/>
    <w:rPr>
      <w:rFonts w:ascii="Tahoma" w:hAnsi="Tahoma"/>
      <w:sz w:val="24"/>
    </w:rPr>
  </w:style>
  <w:style w:type="paragraph" w:styleId="1161" w:customStyle="1">
    <w:name w:val="xl26"/>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2" w:customStyle="1">
    <w:name w:val="xl30"/>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customStyle="1">
    <w:name w:val="xl41"/>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4" w:customStyle="1">
    <w:name w:val="样式 宋体 五号 行距: 单倍行距"/>
    <w:basedOn w:val="841"/>
    <w:uiPriority w:val="0"/>
    <w:qFormat/>
    <w:pPr>
      <w:jc w:val="left"/>
    </w:pPr>
    <w:rPr>
      <w:rFonts w:ascii="宋体" w:hAnsi="宋体"/>
      <w:szCs w:val="20"/>
    </w:rPr>
  </w:style>
  <w:style w:type="paragraph" w:styleId="1165" w:customStyle="1">
    <w:name w:val="Char1 Char Char Char1"/>
    <w:basedOn w:val="841"/>
    <w:uiPriority w:val="0"/>
    <w:qFormat/>
    <w:rPr>
      <w:rFonts w:ascii="Tahoma" w:hAnsi="Tahoma" w:cs="仿宋_GB2312"/>
      <w:sz w:val="24"/>
      <w:szCs w:val="28"/>
    </w:rPr>
  </w:style>
  <w:style w:type="paragraph" w:styleId="1166" w:customStyle="1">
    <w:name w:val="四级条标题"/>
    <w:basedOn w:val="1167"/>
    <w:next w:val="841"/>
    <w:uiPriority w:val="0"/>
    <w:qFormat/>
    <w:pPr>
      <w:numPr>
        <w:ilvl w:val="4"/>
      </w:numPr>
      <w:ind w:left="0" w:hanging="840"/>
      <w:tabs>
        <w:tab w:val="left" w:pos="360" w:leader="none"/>
        <w:tab w:val="left" w:pos="840" w:leader="none"/>
      </w:tabs>
      <w:outlineLvl w:val="4"/>
    </w:pPr>
  </w:style>
  <w:style w:type="paragraph" w:styleId="1167" w:customStyle="1">
    <w:name w:val="三级条标题"/>
    <w:basedOn w:val="1129"/>
    <w:next w:val="841"/>
    <w:uiPriority w:val="0"/>
    <w:qFormat/>
    <w:pPr>
      <w:numPr>
        <w:ilvl w:val="3"/>
        <w:numId w:val="1"/>
      </w:numPr>
      <w:ind w:left="0" w:hanging="840"/>
      <w:outlineLvl w:val="3"/>
    </w:pPr>
  </w:style>
  <w:style w:type="paragraph" w:styleId="116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69" w:customStyle="1">
    <w:name w:val="样式 标题 2 + 宋体 五号 行距: 单倍行距"/>
    <w:basedOn w:val="1031"/>
    <w:uiPriority w:val="0"/>
    <w:qFormat/>
    <w:pPr>
      <w:numPr>
        <w:ilvl w:val="1"/>
        <w:numId w:val="4"/>
      </w:numPr>
      <w:jc w:val="left"/>
      <w:spacing w:before="260" w:after="260" w:line="240" w:lineRule="auto"/>
    </w:pPr>
    <w:rPr>
      <w:rFonts w:ascii="宋体" w:hAnsi="宋体" w:eastAsia="宋体"/>
      <w:bCs/>
      <w:sz w:val="21"/>
    </w:rPr>
  </w:style>
  <w:style w:type="paragraph" w:styleId="1170" w:customStyle="1">
    <w:name w:val="List Paragraph1"/>
    <w:basedOn w:val="841"/>
    <w:uiPriority w:val="0"/>
    <w:qFormat/>
    <w:pPr>
      <w:ind w:firstLine="420"/>
    </w:pPr>
    <w:rPr>
      <w:rFonts w:ascii="Calibri" w:hAnsi="Calibri"/>
      <w:szCs w:val="22"/>
    </w:rPr>
  </w:style>
  <w:style w:type="paragraph" w:styleId="1171" w:customStyle="1">
    <w:name w:val="项目符号1"/>
    <w:basedOn w:val="1172"/>
    <w:uiPriority w:val="0"/>
    <w:qFormat/>
    <w:pPr>
      <w:ind w:left="-25" w:firstLine="0"/>
    </w:pPr>
  </w:style>
  <w:style w:type="paragraph" w:styleId="1172" w:customStyle="1">
    <w:name w:val="正文文本样式"/>
    <w:basedOn w:val="841"/>
    <w:uiPriority w:val="0"/>
    <w:qFormat/>
    <w:pPr>
      <w:ind w:firstLine="482"/>
      <w:spacing w:line="360" w:lineRule="auto"/>
    </w:pPr>
    <w:rPr>
      <w:rFonts w:cs="宋体"/>
      <w:sz w:val="24"/>
      <w:szCs w:val="20"/>
    </w:rPr>
  </w:style>
  <w:style w:type="paragraph" w:styleId="1173" w:customStyle="1">
    <w:name w:val="xl27"/>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4" w:customStyle="1">
    <w:name w:val="font5"/>
    <w:basedOn w:val="841"/>
    <w:uiPriority w:val="0"/>
    <w:qFormat/>
    <w:pPr>
      <w:jc w:val="left"/>
      <w:spacing w:before="100" w:beforeAutospacing="1" w:after="100" w:afterAutospacing="1"/>
      <w:widowControl/>
    </w:pPr>
    <w:rPr>
      <w:rFonts w:ascii="宋体" w:hAnsi="宋体" w:cs="宋体"/>
      <w:sz w:val="18"/>
      <w:szCs w:val="18"/>
    </w:rPr>
  </w:style>
  <w:style w:type="paragraph" w:styleId="1175" w:customStyle="1">
    <w:name w:val="五级条标题"/>
    <w:basedOn w:val="1166"/>
    <w:next w:val="841"/>
    <w:uiPriority w:val="0"/>
    <w:qFormat/>
    <w:pPr>
      <w:numPr>
        <w:ilvl w:val="5"/>
      </w:numPr>
      <w:ind w:left="0" w:hanging="840"/>
      <w:outlineLvl w:val="5"/>
    </w:pPr>
  </w:style>
  <w:style w:type="paragraph" w:styleId="1176" w:customStyle="1">
    <w:name w:val="xl49"/>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7" w:customStyle="1">
    <w:name w:val="文档正文"/>
    <w:basedOn w:val="841"/>
    <w:uiPriority w:val="0"/>
    <w:qFormat/>
    <w:pPr>
      <w:spacing w:before="120" w:after="120" w:line="180" w:lineRule="auto"/>
    </w:pPr>
    <w:rPr>
      <w:rFonts w:ascii="Arial" w:hAnsi="Arial"/>
      <w:szCs w:val="20"/>
    </w:rPr>
  </w:style>
  <w:style w:type="paragraph" w:styleId="1178" w:customStyle="1">
    <w:name w:val="xl33"/>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customStyle="1">
    <w:name w:val="xl42"/>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0" w:customStyle="1">
    <w:name w:val="Char Char Char1 Char"/>
    <w:basedOn w:val="841"/>
    <w:uiPriority w:val="0"/>
    <w:qFormat/>
    <w:rPr>
      <w:rFonts w:ascii="Tahoma" w:hAnsi="Tahoma"/>
      <w:sz w:val="24"/>
      <w:szCs w:val="20"/>
    </w:rPr>
  </w:style>
  <w:style w:type="paragraph" w:styleId="1181" w:customStyle="1">
    <w:name w:val="xl44"/>
    <w:basedOn w:val="8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2" w:customStyle="1">
    <w:name w:val="1名"/>
    <w:basedOn w:val="841"/>
    <w:uiPriority w:val="0"/>
    <w:qFormat/>
    <w:pPr>
      <w:numPr>
        <w:ilvl w:val="0"/>
        <w:numId w:val="5"/>
      </w:numPr>
      <w:spacing w:before="120"/>
    </w:pPr>
    <w:rPr>
      <w:rFonts w:ascii="宋体"/>
      <w:sz w:val="28"/>
      <w:szCs w:val="20"/>
    </w:rPr>
  </w:style>
  <w:style w:type="paragraph" w:styleId="1183" w:customStyle="1">
    <w:name w:val="font9"/>
    <w:basedOn w:val="84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4" w:customStyle="1">
    <w:name w:val="Char Char Char1 Char1"/>
    <w:basedOn w:val="841"/>
    <w:uiPriority w:val="0"/>
    <w:qFormat/>
    <w:rPr>
      <w:rFonts w:ascii="Tahoma" w:hAnsi="Tahoma"/>
      <w:sz w:val="24"/>
      <w:szCs w:val="20"/>
    </w:rPr>
  </w:style>
  <w:style w:type="paragraph" w:styleId="1185" w:customStyle="1">
    <w:name w:val="Char Char Char Char Char Char Char Char Char Char"/>
    <w:basedOn w:val="841"/>
    <w:uiPriority w:val="0"/>
    <w:qFormat/>
  </w:style>
  <w:style w:type="paragraph" w:styleId="1186" w:customStyle="1">
    <w:name w:val="Char Char1 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1187" w:customStyle="1">
    <w:name w:val="Char1"/>
    <w:basedOn w:val="841"/>
    <w:uiPriority w:val="0"/>
    <w:qFormat/>
    <w:pPr>
      <w:tabs>
        <w:tab w:val="left" w:pos="360" w:leader="none"/>
      </w:tabs>
    </w:pPr>
    <w:rPr>
      <w:sz w:val="24"/>
    </w:rPr>
  </w:style>
  <w:style w:type="paragraph" w:styleId="1188" w:customStyle="1">
    <w:name w:val="正文列项_字母"/>
    <w:basedOn w:val="84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89" w:customStyle="1">
    <w:name w:val="xl28"/>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customStyle="1">
    <w:name w:val="xl47"/>
    <w:basedOn w:val="8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1" w:customStyle="1">
    <w:name w:val="默认段落字体 Para Char Char Char Char"/>
    <w:basedOn w:val="841"/>
    <w:uiPriority w:val="0"/>
    <w:qFormat/>
    <w:rPr>
      <w:rFonts w:ascii="Arial" w:hAnsi="Arial" w:cs="Arial"/>
      <w:szCs w:val="21"/>
    </w:rPr>
  </w:style>
  <w:style w:type="paragraph" w:styleId="1192" w:customStyle="1">
    <w:name w:val="xl48"/>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3" w:customStyle="1">
    <w:name w:val="xl31"/>
    <w:basedOn w:val="84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4" w:customStyle="1">
    <w:name w:val="xl53"/>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customStyle="1">
    <w:name w:val="Char Char Char"/>
    <w:basedOn w:val="841"/>
    <w:uiPriority w:val="0"/>
    <w:qFormat/>
    <w:rPr>
      <w:rFonts w:ascii="Tahoma" w:hAnsi="Tahoma"/>
      <w:sz w:val="24"/>
      <w:szCs w:val="20"/>
    </w:rPr>
  </w:style>
  <w:style w:type="paragraph" w:styleId="1196" w:customStyle="1">
    <w:name w:val="xl50"/>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7" w:customStyle="1">
    <w:name w:val="缺省文本"/>
    <w:basedOn w:val="841"/>
    <w:uiPriority w:val="0"/>
    <w:qFormat/>
    <w:pPr>
      <w:jc w:val="left"/>
    </w:pPr>
    <w:rPr>
      <w:sz w:val="24"/>
    </w:rPr>
  </w:style>
  <w:style w:type="paragraph" w:styleId="1198" w:customStyle="1">
    <w:name w:val="Char Char Char1"/>
    <w:basedOn w:val="841"/>
    <w:uiPriority w:val="0"/>
    <w:qFormat/>
    <w:rPr>
      <w:rFonts w:ascii="Tahoma" w:hAnsi="Tahoma"/>
      <w:sz w:val="24"/>
      <w:szCs w:val="20"/>
    </w:rPr>
  </w:style>
  <w:style w:type="paragraph" w:styleId="1199" w:customStyle="1">
    <w:name w:val="Char Char Char Char Char Char Char1"/>
    <w:basedOn w:val="841"/>
    <w:uiPriority w:val="0"/>
    <w:qFormat/>
    <w:pPr>
      <w:ind w:firstLine="200"/>
      <w:spacing w:line="360" w:lineRule="auto"/>
    </w:pPr>
    <w:rPr>
      <w:rFonts w:eastAsia="仿宋_GB2312"/>
      <w:sz w:val="24"/>
    </w:rPr>
  </w:style>
  <w:style w:type="paragraph" w:styleId="1200" w:customStyle="1">
    <w:name w:val="xl51"/>
    <w:basedOn w:val="84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1" w:customStyle="1">
    <w:name w:val="样式2"/>
    <w:basedOn w:val="1091"/>
    <w:uiPriority w:val="0"/>
    <w:qFormat/>
    <w:pPr>
      <w:jc w:val="center"/>
      <w:spacing w:line="360" w:lineRule="auto"/>
    </w:pPr>
    <w:rPr>
      <w:sz w:val="24"/>
    </w:rPr>
  </w:style>
  <w:style w:type="paragraph" w:styleId="1202" w:customStyle="1">
    <w:name w:val="xl24"/>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customStyle="1">
    <w:name w:val="xl29"/>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4" w:customStyle="1">
    <w:name w:val="正文 + 楷体_GB2312"/>
    <w:basedOn w:val="841"/>
    <w:uiPriority w:val="0"/>
    <w:qFormat/>
    <w:pPr>
      <w:jc w:val="left"/>
      <w:widowControl/>
    </w:pPr>
    <w:rPr>
      <w:rFonts w:ascii="楷体_GB2312" w:eastAsia="楷体_GB2312" w:cs="Arial"/>
      <w:sz w:val="24"/>
    </w:rPr>
  </w:style>
  <w:style w:type="paragraph" w:styleId="1205" w:customStyle="1">
    <w:name w:val="xl34"/>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6" w:customStyle="1">
    <w:name w:val="1 Char Char Char Char"/>
    <w:basedOn w:val="841"/>
    <w:uiPriority w:val="0"/>
    <w:qFormat/>
    <w:rPr>
      <w:rFonts w:ascii="Tahoma" w:hAnsi="Tahoma"/>
      <w:sz w:val="24"/>
      <w:szCs w:val="20"/>
    </w:rPr>
  </w:style>
  <w:style w:type="paragraph" w:styleId="120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08" w:customStyle="1">
    <w:name w:val="列出段落1"/>
    <w:basedOn w:val="841"/>
    <w:uiPriority w:val="0"/>
    <w:qFormat/>
    <w:pPr>
      <w:ind w:firstLine="420"/>
    </w:pPr>
    <w:rPr>
      <w:rFonts w:ascii="Calibri" w:hAnsi="Calibri"/>
      <w:szCs w:val="22"/>
    </w:rPr>
  </w:style>
  <w:style w:type="paragraph" w:styleId="1209" w:customStyle="1">
    <w:name w:val="default"/>
    <w:basedOn w:val="841"/>
    <w:uiPriority w:val="0"/>
    <w:qFormat/>
    <w:pPr>
      <w:jc w:val="left"/>
      <w:spacing w:before="100" w:beforeAutospacing="1" w:after="100" w:afterAutospacing="1"/>
      <w:widowControl/>
    </w:pPr>
    <w:rPr>
      <w:rFonts w:ascii="宋体" w:hAnsi="宋体" w:cs="宋体"/>
      <w:sz w:val="24"/>
    </w:rPr>
  </w:style>
  <w:style w:type="paragraph" w:styleId="1210" w:customStyle="1">
    <w:name w:val="字元 字元1"/>
    <w:basedOn w:val="841"/>
    <w:uiPriority w:val="0"/>
    <w:qFormat/>
    <w:rPr>
      <w:rFonts w:ascii="Tahoma" w:hAnsi="Tahoma"/>
      <w:sz w:val="24"/>
      <w:szCs w:val="20"/>
    </w:rPr>
  </w:style>
  <w:style w:type="paragraph" w:styleId="1211" w:customStyle="1">
    <w:name w:val="_Style 160"/>
    <w:uiPriority w:val="0"/>
    <w:qFormat/>
    <w:rPr>
      <w:rFonts w:hint="default" w:ascii="Times New Roman" w:hAnsi="Times New Roman" w:eastAsia="宋体" w:cs="Times New Roman"/>
      <w:sz w:val="21"/>
      <w:szCs w:val="24"/>
      <w:lang w:val="en-US" w:eastAsia="zh-CN" w:bidi="ar-SA"/>
    </w:rPr>
  </w:style>
  <w:style w:type="paragraph" w:styleId="1212" w:customStyle="1">
    <w:name w:val="项目编号3"/>
    <w:basedOn w:val="1172"/>
    <w:uiPriority w:val="0"/>
    <w:qFormat/>
    <w:pPr>
      <w:numPr>
        <w:ilvl w:val="0"/>
        <w:numId w:val="6"/>
      </w:numPr>
    </w:pPr>
  </w:style>
  <w:style w:type="paragraph" w:styleId="1213" w:customStyle="1">
    <w:name w:val="Char21"/>
    <w:basedOn w:val="841"/>
    <w:uiPriority w:val="0"/>
    <w:qFormat/>
    <w:rPr>
      <w:rFonts w:ascii="Tahoma" w:hAnsi="Tahoma"/>
      <w:sz w:val="24"/>
      <w:szCs w:val="20"/>
    </w:rPr>
  </w:style>
  <w:style w:type="paragraph" w:styleId="1214" w:customStyle="1">
    <w:name w:val="表格文字"/>
    <w:basedOn w:val="1062"/>
    <w:uiPriority w:val="0"/>
    <w:qFormat/>
    <w:pPr>
      <w:ind w:firstLine="0"/>
      <w:spacing w:before="20" w:after="20" w:line="240" w:lineRule="auto"/>
    </w:pPr>
    <w:rPr>
      <w:rFonts w:ascii="Century Gothic" w:hAnsi="Century Gothic"/>
      <w:sz w:val="20"/>
      <w:szCs w:val="20"/>
    </w:rPr>
  </w:style>
  <w:style w:type="paragraph" w:styleId="1215" w:customStyle="1">
    <w:name w:val="Char Char Char Char Char Char Char Char Char Char1"/>
    <w:basedOn w:val="841"/>
    <w:uiPriority w:val="0"/>
    <w:qFormat/>
    <w:rPr>
      <w:rFonts w:ascii="宋体" w:hAnsi="宋体" w:cs="Courier New"/>
      <w:sz w:val="32"/>
      <w:szCs w:val="32"/>
    </w:rPr>
  </w:style>
  <w:style w:type="paragraph" w:styleId="1216" w:customStyle="1">
    <w:name w:val="正文文本样式 加粗"/>
    <w:basedOn w:val="1172"/>
    <w:uiPriority w:val="0"/>
    <w:qFormat/>
    <w:rPr>
      <w:b/>
    </w:rPr>
  </w:style>
  <w:style w:type="paragraph" w:styleId="1217" w:customStyle="1">
    <w:name w:val="Char2 Char Char Char Char Char Char"/>
    <w:basedOn w:val="841"/>
    <w:uiPriority w:val="0"/>
    <w:qFormat/>
    <w:pPr>
      <w:jc w:val="center"/>
      <w:spacing w:line="400" w:lineRule="exact"/>
      <w:widowControl/>
    </w:pPr>
  </w:style>
  <w:style w:type="paragraph" w:styleId="1218" w:customStyle="1">
    <w:name w:val="Char Char4"/>
    <w:basedOn w:val="841"/>
    <w:uiPriority w:val="0"/>
    <w:qFormat/>
    <w:pPr>
      <w:jc w:val="center"/>
      <w:spacing w:line="400" w:lineRule="exact"/>
      <w:widowControl/>
    </w:pPr>
  </w:style>
  <w:style w:type="paragraph" w:styleId="1219" w:customStyle="1">
    <w:name w:val="Char3 Char Char Char1"/>
    <w:basedOn w:val="841"/>
    <w:uiPriority w:val="0"/>
    <w:qFormat/>
    <w:rPr>
      <w:rFonts w:ascii="Tahoma" w:hAnsi="Tahoma"/>
      <w:sz w:val="24"/>
      <w:szCs w:val="20"/>
    </w:rPr>
  </w:style>
  <w:style w:type="paragraph" w:styleId="122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22222222222222"/>
    <w:basedOn w:val="841"/>
    <w:uiPriority w:val="0"/>
    <w:qFormat/>
    <w:pPr>
      <w:ind w:firstLine="480"/>
      <w:jc w:val="left"/>
      <w:spacing w:line="360" w:lineRule="auto"/>
      <w:widowControl/>
    </w:pPr>
    <w:rPr>
      <w:color w:val="ff0000"/>
      <w:sz w:val="24"/>
      <w:szCs w:val="20"/>
    </w:rPr>
  </w:style>
  <w:style w:type="character" w:styleId="1222" w:customStyle="1">
    <w:name w:val="中等深浅网格 1 - 强调文字颜色 2 Char"/>
    <w:link w:val="1223"/>
    <w:uiPriority w:val="0"/>
    <w:qFormat/>
    <w:rPr>
      <w:sz w:val="21"/>
      <w:szCs w:val="24"/>
      <w:lang w:val="zh-CN" w:eastAsia="zh-CN" w:bidi="ar-SA"/>
    </w:rPr>
  </w:style>
  <w:style w:type="paragraph" w:styleId="1223" w:customStyle="1">
    <w:name w:val="1"/>
    <w:link w:val="1222"/>
    <w:uiPriority w:val="0"/>
    <w:qFormat/>
    <w:rPr>
      <w:rFonts w:hint="default" w:ascii="Times New Roman" w:hAnsi="Times New Roman" w:eastAsia="宋体" w:cs="Times New Roman"/>
      <w:sz w:val="21"/>
      <w:szCs w:val="24"/>
      <w:lang w:val="zh-CN" w:eastAsia="zh-CN" w:bidi="ar-SA"/>
    </w:rPr>
  </w:style>
  <w:style w:type="paragraph" w:styleId="1224" w:customStyle="1">
    <w:name w:val="图文"/>
    <w:basedOn w:val="841"/>
    <w:uiPriority w:val="0"/>
    <w:qFormat/>
    <w:pPr>
      <w:spacing w:after="50" w:line="360" w:lineRule="auto"/>
    </w:pPr>
    <w:rPr>
      <w:sz w:val="24"/>
    </w:rPr>
  </w:style>
  <w:style w:type="paragraph" w:styleId="1225" w:customStyle="1">
    <w:name w:val="xl23"/>
    <w:basedOn w:val="841"/>
    <w:uiPriority w:val="0"/>
    <w:qFormat/>
    <w:pPr>
      <w:spacing w:before="100" w:beforeAutospacing="1" w:after="100" w:afterAutospacing="1" w:line="360" w:lineRule="auto"/>
      <w:widowControl/>
    </w:pPr>
    <w:rPr>
      <w:sz w:val="24"/>
      <w:szCs w:val="20"/>
    </w:rPr>
  </w:style>
  <w:style w:type="paragraph" w:styleId="1226" w:customStyle="1">
    <w:name w:val="正文表格"/>
    <w:basedOn w:val="841"/>
    <w:link w:val="1227"/>
    <w:uiPriority w:val="0"/>
    <w:qFormat/>
    <w:pPr>
      <w:jc w:val="left"/>
    </w:pPr>
    <w:rPr>
      <w:rFonts w:ascii="宋体" w:hAnsi="宋体"/>
      <w:color w:val="000000"/>
      <w:szCs w:val="21"/>
    </w:rPr>
  </w:style>
  <w:style w:type="character" w:styleId="1227" w:customStyle="1">
    <w:name w:val="正文表格 Char"/>
    <w:link w:val="1226"/>
    <w:uiPriority w:val="0"/>
    <w:qFormat/>
    <w:rPr>
      <w:rFonts w:ascii="宋体" w:hAnsi="宋体"/>
      <w:color w:val="000000"/>
      <w:sz w:val="21"/>
      <w:szCs w:val="21"/>
    </w:rPr>
  </w:style>
  <w:style w:type="paragraph" w:styleId="1228" w:customStyle="1">
    <w:name w:val="正文重点"/>
    <w:basedOn w:val="841"/>
    <w:link w:val="1229"/>
    <w:uiPriority w:val="0"/>
    <w:qFormat/>
    <w:pPr>
      <w:ind w:firstLine="482"/>
      <w:jc w:val="left"/>
      <w:spacing w:line="360" w:lineRule="auto"/>
    </w:pPr>
    <w:rPr>
      <w:b/>
      <w:sz w:val="24"/>
      <w:szCs w:val="20"/>
    </w:rPr>
  </w:style>
  <w:style w:type="character" w:styleId="1229" w:customStyle="1">
    <w:name w:val="正文重点 Char"/>
    <w:link w:val="1228"/>
    <w:uiPriority w:val="0"/>
    <w:qFormat/>
    <w:rPr>
      <w:b/>
      <w:sz w:val="24"/>
    </w:rPr>
  </w:style>
  <w:style w:type="paragraph" w:styleId="1230" w:customStyle="1">
    <w:name w:val="标题1-附件"/>
    <w:basedOn w:val="1030"/>
    <w:uiPriority w:val="0"/>
    <w:qFormat/>
    <w:pPr>
      <w:jc w:val="left"/>
    </w:pPr>
    <w:rPr>
      <w:sz w:val="24"/>
      <w:szCs w:val="24"/>
    </w:rPr>
  </w:style>
  <w:style w:type="paragraph" w:styleId="1231" w:customStyle="1">
    <w:name w:val="正文小标题"/>
    <w:basedOn w:val="841"/>
    <w:next w:val="1033"/>
    <w:link w:val="1232"/>
    <w:uiPriority w:val="0"/>
    <w:qFormat/>
    <w:pPr>
      <w:ind w:firstLine="482"/>
      <w:jc w:val="left"/>
      <w:spacing w:before="312" w:after="312"/>
    </w:pPr>
    <w:rPr>
      <w:rFonts w:ascii="宋体" w:hAnsi="宋体"/>
      <w:b/>
      <w:i/>
      <w:color w:val="ff0000"/>
      <w:sz w:val="24"/>
      <w:szCs w:val="20"/>
    </w:rPr>
  </w:style>
  <w:style w:type="character" w:styleId="1232" w:customStyle="1">
    <w:name w:val="正文小标题 Char"/>
    <w:link w:val="1231"/>
    <w:uiPriority w:val="0"/>
    <w:qFormat/>
    <w:rPr>
      <w:rFonts w:ascii="宋体" w:hAnsi="宋体"/>
      <w:b/>
      <w:i/>
      <w:color w:val="ff0000"/>
      <w:sz w:val="24"/>
    </w:rPr>
  </w:style>
  <w:style w:type="paragraph" w:styleId="1233" w:customStyle="1">
    <w:name w:val="正文大标题"/>
    <w:basedOn w:val="1231"/>
    <w:next w:val="1033"/>
    <w:link w:val="1234"/>
    <w:uiPriority w:val="0"/>
    <w:qFormat/>
    <w:pPr>
      <w:jc w:val="center"/>
    </w:pPr>
    <w:rPr>
      <w:i w:val="0"/>
      <w:color w:val="000000"/>
      <w:sz w:val="28"/>
      <w:szCs w:val="21"/>
    </w:rPr>
  </w:style>
  <w:style w:type="character" w:styleId="1234" w:customStyle="1">
    <w:name w:val="正文大标题 Char"/>
    <w:link w:val="1233"/>
    <w:uiPriority w:val="0"/>
    <w:qFormat/>
    <w:rPr>
      <w:rFonts w:ascii="宋体" w:hAnsi="宋体"/>
      <w:b/>
      <w:color w:val="000000"/>
      <w:sz w:val="28"/>
      <w:szCs w:val="21"/>
    </w:rPr>
  </w:style>
  <w:style w:type="paragraph" w:styleId="1235" w:customStyle="1">
    <w:name w:val="注释"/>
    <w:basedOn w:val="841"/>
    <w:link w:val="1236"/>
    <w:uiPriority w:val="0"/>
    <w:qFormat/>
    <w:pPr>
      <w:ind w:left="420" w:hanging="420"/>
      <w:jc w:val="left"/>
    </w:pPr>
    <w:rPr>
      <w:rFonts w:ascii="宋体" w:hAnsi="宋体"/>
      <w:szCs w:val="21"/>
    </w:rPr>
  </w:style>
  <w:style w:type="character" w:styleId="1236" w:customStyle="1">
    <w:name w:val="注释 Char"/>
    <w:link w:val="1235"/>
    <w:uiPriority w:val="0"/>
    <w:qFormat/>
    <w:rPr>
      <w:rFonts w:ascii="宋体" w:hAnsi="宋体"/>
      <w:sz w:val="21"/>
      <w:szCs w:val="21"/>
    </w:rPr>
  </w:style>
  <w:style w:type="paragraph" w:styleId="1237" w:customStyle="1">
    <w:name w:val="正文须知-1级"/>
    <w:basedOn w:val="841"/>
    <w:next w:val="841"/>
    <w:uiPriority w:val="0"/>
    <w:qFormat/>
    <w:pPr>
      <w:numPr>
        <w:ilvl w:val="0"/>
        <w:numId w:val="7"/>
      </w:numPr>
      <w:spacing w:line="300" w:lineRule="auto"/>
    </w:pPr>
    <w:rPr>
      <w:rFonts w:ascii="宋体" w:hAnsi="Calibri"/>
      <w:sz w:val="24"/>
      <w:szCs w:val="21"/>
    </w:rPr>
  </w:style>
  <w:style w:type="paragraph" w:styleId="1238" w:customStyle="1">
    <w:name w:val="正文须知-2级"/>
    <w:basedOn w:val="841"/>
    <w:uiPriority w:val="0"/>
    <w:qFormat/>
    <w:pPr>
      <w:numPr>
        <w:ilvl w:val="1"/>
        <w:numId w:val="7"/>
      </w:numPr>
      <w:spacing w:line="300" w:lineRule="auto"/>
    </w:pPr>
    <w:rPr>
      <w:rFonts w:ascii="宋体" w:hAnsi="Calibri"/>
      <w:sz w:val="24"/>
      <w:szCs w:val="21"/>
    </w:rPr>
  </w:style>
  <w:style w:type="paragraph" w:styleId="1239" w:customStyle="1">
    <w:name w:val="正文须知-3级"/>
    <w:basedOn w:val="841"/>
    <w:uiPriority w:val="0"/>
    <w:qFormat/>
    <w:pPr>
      <w:numPr>
        <w:ilvl w:val="2"/>
        <w:numId w:val="7"/>
      </w:numPr>
      <w:ind w:hanging="355"/>
      <w:spacing w:line="300" w:lineRule="auto"/>
    </w:pPr>
    <w:rPr>
      <w:rFonts w:ascii="宋体" w:hAnsi="Calibri"/>
      <w:sz w:val="24"/>
      <w:szCs w:val="21"/>
    </w:rPr>
  </w:style>
  <w:style w:type="character" w:styleId="1240" w:customStyle="1">
    <w:name w:val="纯文本 字符"/>
    <w:link w:val="841"/>
    <w:uiPriority w:val="99"/>
    <w:qFormat/>
    <w:rPr>
      <w:rFonts w:ascii="宋体" w:hAnsi="Courier New" w:eastAsia="宋体" w:cs="Times New Roman"/>
      <w:sz w:val="21"/>
      <w:szCs w:val="21"/>
      <w:lang w:val="en-US" w:eastAsia="zh-CN" w:bidi="ar-SA"/>
    </w:rPr>
  </w:style>
  <w:style w:type="paragraph" w:styleId="1241" w:customStyle="1">
    <w:name w:val="表格1"/>
    <w:basedOn w:val="841"/>
    <w:uiPriority w:val="0"/>
    <w:qFormat/>
    <w:pPr>
      <w:ind w:firstLine="480"/>
      <w:jc w:val="center"/>
    </w:pPr>
    <w:rPr>
      <w:sz w:val="24"/>
      <w:szCs w:val="20"/>
    </w:rPr>
  </w:style>
  <w:style w:type="character" w:styleId="1242" w:customStyle="1">
    <w:name w:val="纯文本 字符1"/>
    <w:link w:val="841"/>
    <w:uiPriority w:val="0"/>
    <w:qFormat/>
    <w:rPr>
      <w:rFonts w:ascii="宋体" w:hAnsi="Courier New"/>
    </w:rPr>
  </w:style>
  <w:style w:type="character" w:styleId="1243" w:customStyle="1">
    <w:name w:val="bjh-p"/>
    <w:link w:val="841"/>
    <w:uiPriority w:val="0"/>
    <w:qFormat/>
  </w:style>
  <w:style w:type="paragraph" w:styleId="1244" w:customStyle="1">
    <w:name w:val="无标题条"/>
    <w:next w:val="841"/>
    <w:uiPriority w:val="0"/>
    <w:qFormat/>
    <w:pPr>
      <w:jc w:val="both"/>
    </w:pPr>
    <w:rPr>
      <w:rFonts w:hint="default" w:ascii="Times New Roman" w:hAnsi="Times New Roman" w:eastAsia="宋体" w:cs="Times New Roman"/>
      <w:sz w:val="21"/>
      <w:lang w:val="en-US" w:eastAsia="zh-CN" w:bidi="ar-SA"/>
    </w:rPr>
  </w:style>
  <w:style w:type="character" w:styleId="1245" w:customStyle="1">
    <w:name w:val="正文格式 Char"/>
    <w:link w:val="1246"/>
    <w:uiPriority w:val="0"/>
    <w:qFormat/>
    <w:rPr>
      <w:rFonts w:ascii="宋体" w:hAnsi="宋体"/>
      <w:sz w:val="24"/>
      <w:szCs w:val="24"/>
      <w:lang w:val="en-GB"/>
    </w:rPr>
  </w:style>
  <w:style w:type="paragraph" w:styleId="1246" w:customStyle="1">
    <w:name w:val="正文格式"/>
    <w:basedOn w:val="841"/>
    <w:link w:val="1245"/>
    <w:uiPriority w:val="0"/>
    <w:qFormat/>
    <w:pPr>
      <w:ind w:firstLine="480"/>
      <w:spacing w:line="360" w:lineRule="auto"/>
    </w:pPr>
    <w:rPr>
      <w:rFonts w:ascii="宋体" w:hAnsi="宋体"/>
      <w:sz w:val="24"/>
      <w:lang w:val="en-GB"/>
    </w:rPr>
  </w:style>
  <w:style w:type="character" w:styleId="1247" w:customStyle="1">
    <w:name w:val="标题 3 Char"/>
    <w:link w:val="841"/>
    <w:uiPriority w:val="0"/>
    <w:qFormat/>
    <w:rPr>
      <w:rFonts w:ascii="宋体" w:eastAsia="宋体"/>
      <w:b/>
      <w:sz w:val="24"/>
      <w:u w:val="single"/>
      <w:lang w:val="en-US" w:eastAsia="zh-CN" w:bidi="ar-SA"/>
    </w:rPr>
  </w:style>
  <w:style w:type="character" w:styleId="1248" w:customStyle="1">
    <w:name w:val="正文缩进 Char"/>
    <w:link w:val="841"/>
    <w:uiPriority w:val="0"/>
    <w:qFormat/>
    <w:rPr>
      <w:rFonts w:ascii="宋体" w:eastAsia="宋体"/>
      <w:sz w:val="24"/>
      <w:szCs w:val="24"/>
      <w:lang w:val="en-US" w:eastAsia="zh-CN" w:bidi="ar-SA"/>
    </w:rPr>
  </w:style>
  <w:style w:type="character" w:styleId="1249" w:customStyle="1">
    <w:name w:val="Char Char111"/>
    <w:link w:val="841"/>
    <w:uiPriority w:val="0"/>
    <w:qFormat/>
    <w:rPr>
      <w:rFonts w:ascii="宋体" w:eastAsia="宋体"/>
      <w:b/>
      <w:sz w:val="24"/>
      <w:u w:val="single"/>
      <w:lang w:val="en-US" w:eastAsia="zh-CN" w:bidi="ar-SA"/>
    </w:rPr>
  </w:style>
  <w:style w:type="character" w:styleId="1250" w:customStyle="1">
    <w:name w:val="正文文本缩进 Char"/>
    <w:link w:val="841"/>
    <w:uiPriority w:val="0"/>
    <w:qFormat/>
    <w:rPr>
      <w:rFonts w:eastAsia="宋体"/>
      <w:sz w:val="24"/>
      <w:szCs w:val="24"/>
      <w:lang w:val="en-US" w:eastAsia="zh-CN" w:bidi="ar-SA"/>
    </w:rPr>
  </w:style>
  <w:style w:type="character" w:styleId="1251" w:customStyle="1">
    <w:name w:val="列出段落 Char"/>
    <w:link w:val="841"/>
    <w:uiPriority w:val="0"/>
    <w:qFormat/>
    <w:rPr>
      <w:rFonts w:ascii="Calibri" w:hAnsi="Calibri" w:eastAsia="宋体"/>
      <w:sz w:val="21"/>
      <w:szCs w:val="22"/>
      <w:lang w:val="en-US" w:eastAsia="zh-CN" w:bidi="ar-SA"/>
    </w:rPr>
  </w:style>
  <w:style w:type="character" w:styleId="1252" w:customStyle="1">
    <w:name w:val="页眉 Char"/>
    <w:link w:val="841"/>
    <w:uiPriority w:val="0"/>
    <w:qFormat/>
    <w:rPr>
      <w:rFonts w:eastAsia="宋体"/>
      <w:sz w:val="18"/>
      <w:szCs w:val="18"/>
      <w:lang w:val="en-US" w:eastAsia="zh-CN" w:bidi="ar-SA"/>
    </w:rPr>
  </w:style>
  <w:style w:type="character" w:styleId="1253" w:customStyle="1">
    <w:name w:val="标题 2 Char"/>
    <w:link w:val="841"/>
    <w:uiPriority w:val="0"/>
    <w:qFormat/>
    <w:rPr>
      <w:rFonts w:ascii="Arial" w:hAnsi="Arial" w:eastAsia="黑体"/>
      <w:b/>
      <w:sz w:val="30"/>
      <w:lang w:val="en-US" w:eastAsia="zh-CN" w:bidi="ar-SA"/>
    </w:rPr>
  </w:style>
  <w:style w:type="paragraph" w:styleId="1254" w:customStyle="1">
    <w:name w:val="字元 字元2"/>
    <w:basedOn w:val="841"/>
    <w:uiPriority w:val="0"/>
    <w:qFormat/>
    <w:rPr>
      <w:rFonts w:ascii="Tahoma" w:hAnsi="Tahoma"/>
      <w:sz w:val="24"/>
      <w:szCs w:val="20"/>
    </w:rPr>
  </w:style>
  <w:style w:type="paragraph" w:styleId="1255" w:customStyle="1">
    <w:name w:val="Char3 Char Char Char2"/>
    <w:basedOn w:val="841"/>
    <w:uiPriority w:val="0"/>
    <w:qFormat/>
    <w:rPr>
      <w:rFonts w:ascii="Tahoma" w:hAnsi="Tahoma"/>
      <w:sz w:val="24"/>
      <w:szCs w:val="20"/>
    </w:rPr>
  </w:style>
  <w:style w:type="paragraph" w:styleId="1256" w:customStyle="1">
    <w:name w:val="正文文本缩进2"/>
    <w:basedOn w:val="841"/>
    <w:uiPriority w:val="0"/>
    <w:qFormat/>
    <w:pPr>
      <w:ind w:firstLine="480"/>
      <w:spacing w:line="480" w:lineRule="exact"/>
    </w:pPr>
    <w:rPr>
      <w:rFonts w:ascii="宋体" w:hAnsi="宋体"/>
      <w:sz w:val="24"/>
      <w:lang w:val="zh-CN" w:eastAsia="zh-CN"/>
    </w:rPr>
  </w:style>
  <w:style w:type="paragraph" w:styleId="1257" w:customStyle="1">
    <w:name w:val="Char3"/>
    <w:basedOn w:val="841"/>
    <w:uiPriority w:val="0"/>
    <w:qFormat/>
    <w:pPr>
      <w:tabs>
        <w:tab w:val="left" w:pos="360" w:leader="none"/>
      </w:tabs>
    </w:pPr>
    <w:rPr>
      <w:sz w:val="24"/>
    </w:rPr>
  </w:style>
  <w:style w:type="paragraph" w:styleId="1258" w:customStyle="1">
    <w:name w:val="Char Char Char Char Char Char Char Char Char Char Char Char Char Char Char Char1"/>
    <w:basedOn w:val="841"/>
    <w:uiPriority w:val="0"/>
    <w:qFormat/>
    <w:pPr>
      <w:jc w:val="center"/>
      <w:spacing w:after="160" w:line="240" w:lineRule="exact"/>
      <w:widowControl/>
    </w:pPr>
    <w:rPr>
      <w:rFonts w:ascii="宋体" w:hAnsi="宋体"/>
      <w:b/>
      <w:sz w:val="30"/>
      <w:szCs w:val="30"/>
      <w:lang w:eastAsia="en-US"/>
    </w:rPr>
  </w:style>
  <w:style w:type="paragraph" w:styleId="1259" w:customStyle="1">
    <w:name w:val="Char Char1 Char Char Char Char Char Char1"/>
    <w:basedOn w:val="841"/>
    <w:uiPriority w:val="0"/>
    <w:qFormat/>
    <w:pPr>
      <w:jc w:val="left"/>
      <w:spacing w:after="160" w:line="240" w:lineRule="exact"/>
      <w:widowControl/>
    </w:pPr>
    <w:rPr>
      <w:rFonts w:ascii="Verdana" w:hAnsi="Verdana" w:eastAsia="仿宋_GB2312"/>
      <w:sz w:val="24"/>
      <w:szCs w:val="20"/>
      <w:lang w:eastAsia="en-US"/>
    </w:rPr>
  </w:style>
  <w:style w:type="paragraph" w:styleId="1260" w:customStyle="1">
    <w:name w:val="列出段落2"/>
    <w:basedOn w:val="841"/>
    <w:uiPriority w:val="0"/>
    <w:qFormat/>
    <w:pPr>
      <w:ind w:firstLine="420"/>
    </w:pPr>
    <w:rPr>
      <w:rFonts w:ascii="Calibri" w:hAnsi="Calibri"/>
      <w:szCs w:val="22"/>
    </w:rPr>
  </w:style>
  <w:style w:type="paragraph" w:styleId="1261" w:customStyle="1">
    <w:name w:val="Char Char Char1 Char2"/>
    <w:basedOn w:val="841"/>
    <w:uiPriority w:val="0"/>
    <w:qFormat/>
    <w:rPr>
      <w:rFonts w:ascii="Tahoma" w:hAnsi="Tahoma"/>
      <w:sz w:val="24"/>
      <w:szCs w:val="20"/>
    </w:rPr>
  </w:style>
  <w:style w:type="paragraph" w:styleId="1262" w:customStyle="1">
    <w:name w:val="Char Char Char2"/>
    <w:basedOn w:val="841"/>
    <w:uiPriority w:val="0"/>
    <w:qFormat/>
    <w:rPr>
      <w:rFonts w:ascii="Tahoma" w:hAnsi="Tahoma"/>
      <w:sz w:val="24"/>
      <w:szCs w:val="20"/>
    </w:rPr>
  </w:style>
  <w:style w:type="paragraph" w:styleId="1263" w:customStyle="1">
    <w:name w:val="Char Char Char Char Char Char Char2"/>
    <w:basedOn w:val="841"/>
    <w:uiPriority w:val="0"/>
    <w:qFormat/>
    <w:pPr>
      <w:ind w:firstLine="200"/>
      <w:spacing w:line="360" w:lineRule="auto"/>
    </w:pPr>
    <w:rPr>
      <w:rFonts w:eastAsia="仿宋_GB2312"/>
      <w:sz w:val="24"/>
    </w:rPr>
  </w:style>
  <w:style w:type="paragraph" w:styleId="1264" w:customStyle="1">
    <w:name w:val="正文缩进2"/>
    <w:basedOn w:val="841"/>
    <w:uiPriority w:val="0"/>
    <w:qFormat/>
    <w:pPr>
      <w:ind w:firstLine="567"/>
      <w:spacing w:line="480" w:lineRule="exact"/>
      <w:widowControl/>
    </w:pPr>
    <w:rPr>
      <w:rFonts w:ascii="宋体"/>
      <w:color w:val="000000"/>
      <w:sz w:val="28"/>
      <w:szCs w:val="20"/>
      <w:lang w:val="zh-CN" w:eastAsia="zh-CN"/>
    </w:rPr>
  </w:style>
  <w:style w:type="paragraph" w:styleId="1265" w:customStyle="1">
    <w:name w:val="Revision"/>
    <w:uiPriority w:val="0"/>
    <w:qFormat/>
    <w:rPr>
      <w:rFonts w:hint="default" w:ascii="Times New Roman" w:hAnsi="Times New Roman" w:eastAsia="宋体" w:cs="Times New Roman"/>
      <w:sz w:val="21"/>
      <w:szCs w:val="24"/>
      <w:lang w:val="en-US" w:eastAsia="zh-CN" w:bidi="ar-SA"/>
    </w:rPr>
  </w:style>
  <w:style w:type="paragraph" w:styleId="1266" w:customStyle="1">
    <w:name w:val="Char22"/>
    <w:basedOn w:val="841"/>
    <w:uiPriority w:val="0"/>
    <w:qFormat/>
    <w:rPr>
      <w:rFonts w:ascii="Tahoma" w:hAnsi="Tahoma"/>
      <w:sz w:val="24"/>
      <w:szCs w:val="20"/>
    </w:rPr>
  </w:style>
  <w:style w:type="paragraph" w:styleId="1267" w:customStyle="1">
    <w:name w:val="Char Char Char Char Char Char Char Char Char Char2"/>
    <w:basedOn w:val="841"/>
    <w:uiPriority w:val="0"/>
    <w:qFormat/>
    <w:rPr>
      <w:rFonts w:ascii="宋体" w:hAnsi="宋体" w:cs="Courier New"/>
      <w:sz w:val="32"/>
      <w:szCs w:val="32"/>
    </w:rPr>
  </w:style>
  <w:style w:type="paragraph" w:styleId="1268" w:customStyle="1">
    <w:name w:val="Char2 Char Char Char Char Char Char1"/>
    <w:basedOn w:val="841"/>
    <w:uiPriority w:val="0"/>
    <w:qFormat/>
    <w:pPr>
      <w:jc w:val="center"/>
      <w:spacing w:line="400" w:lineRule="exact"/>
      <w:widowControl/>
    </w:pPr>
  </w:style>
  <w:style w:type="character" w:styleId="1269" w:customStyle="1">
    <w:name w:val="页脚 Char"/>
    <w:link w:val="841"/>
    <w:uiPriority w:val="0"/>
    <w:qFormat/>
    <w:rPr>
      <w:rFonts w:ascii="宋体" w:eastAsia="宋体"/>
      <w:sz w:val="18"/>
      <w:lang w:val="en-US" w:eastAsia="zh-CN" w:bidi="ar-SA"/>
    </w:rPr>
  </w:style>
  <w:style w:type="paragraph" w:styleId="1270" w:customStyle="1">
    <w:name w:val="Char Char41"/>
    <w:basedOn w:val="841"/>
    <w:uiPriority w:val="0"/>
    <w:qFormat/>
    <w:pPr>
      <w:jc w:val="center"/>
      <w:spacing w:line="400" w:lineRule="exact"/>
      <w:widowControl/>
    </w:pPr>
  </w:style>
  <w:style w:type="character" w:styleId="1271" w:customStyle="1">
    <w:name w:val="批注文字 Char"/>
    <w:link w:val="841"/>
    <w:uiPriority w:val="99"/>
    <w:qFormat/>
    <w:rPr>
      <w:sz w:val="21"/>
      <w:szCs w:val="24"/>
    </w:rPr>
  </w:style>
  <w:style w:type="character" w:styleId="1272" w:customStyle="1">
    <w:name w:val="标题 Char"/>
    <w:link w:val="841"/>
    <w:uiPriority w:val="0"/>
    <w:qFormat/>
    <w:rPr>
      <w:b/>
      <w:sz w:val="32"/>
    </w:rPr>
  </w:style>
  <w:style w:type="paragraph" w:styleId="1273" w:customStyle="1">
    <w:name w:val="图例"/>
    <w:basedOn w:val="841"/>
    <w:uiPriority w:val="0"/>
    <w:qFormat/>
    <w:pPr>
      <w:jc w:val="center"/>
      <w:spacing w:before="120" w:after="120" w:line="360" w:lineRule="auto"/>
    </w:pPr>
    <w:rPr>
      <w:rFonts w:eastAsia="仿宋_GB2312"/>
      <w:b/>
      <w:sz w:val="24"/>
      <w:szCs w:val="20"/>
    </w:rPr>
  </w:style>
  <w:style w:type="paragraph" w:styleId="1274" w:customStyle="1">
    <w:name w:val="Table Paragraph"/>
    <w:basedOn w:val="841"/>
    <w:uiPriority w:val="1"/>
    <w:qFormat/>
    <w:pPr>
      <w:jc w:val="left"/>
    </w:pPr>
    <w:rPr>
      <w:rFonts w:ascii="宋体" w:hAnsi="宋体" w:cs="宋体"/>
      <w:sz w:val="22"/>
      <w:szCs w:val="22"/>
      <w:lang w:eastAsia="en-US"/>
    </w:rPr>
  </w:style>
  <w:style w:type="table" w:styleId="1275" w:customStyle="1">
    <w:name w:val="Table Normal"/>
    <w:uiPriority w:val="2"/>
    <w:semiHidden/>
    <w:qFormat/>
    <w:pPr>
      <w:widowControl w:val="off"/>
    </w:pPr>
    <w:rPr>
      <w:rFonts w:ascii="Calibri" w:hAnsi="Calibri"/>
      <w:sz w:val="22"/>
      <w:szCs w:val="22"/>
      <w:lang w:val="en-US" w:eastAsia="en-US" w:bidi="ar-SA"/>
    </w:rPr>
    <w:tblPr/>
  </w:style>
  <w:style w:type="paragraph" w:styleId="1276" w:customStyle="1">
    <w:name w:val="成文日期"/>
    <w:basedOn w:val="841"/>
    <w:link w:val="1277"/>
    <w:uiPriority w:val="0"/>
    <w:qFormat/>
    <w:pPr>
      <w:ind w:right="400" w:firstLine="200"/>
      <w:jc w:val="right"/>
      <w:spacing w:line="570" w:lineRule="exact"/>
    </w:pPr>
    <w:rPr>
      <w:rFonts w:ascii="仿宋_GB2312" w:eastAsia="仿宋_GB2312"/>
      <w:sz w:val="32"/>
      <w:szCs w:val="20"/>
    </w:rPr>
  </w:style>
  <w:style w:type="character" w:styleId="1277" w:customStyle="1">
    <w:name w:val="成文日期 Char"/>
    <w:link w:val="1276"/>
    <w:uiPriority w:val="0"/>
    <w:qFormat/>
    <w:rPr>
      <w:rFonts w:ascii="仿宋_GB2312" w:eastAsia="仿宋_GB2312"/>
      <w:sz w:val="32"/>
    </w:rPr>
  </w:style>
  <w:style w:type="paragraph" w:styleId="1278" w:customStyle="1">
    <w:name w:val="pa-1"/>
    <w:basedOn w:val="841"/>
    <w:uiPriority w:val="0"/>
    <w:qFormat/>
    <w:pPr>
      <w:jc w:val="left"/>
      <w:spacing w:before="100" w:beforeAutospacing="1" w:after="100" w:afterAutospacing="1"/>
      <w:widowControl/>
    </w:pPr>
    <w:rPr>
      <w:rFonts w:ascii="宋体" w:hAnsi="宋体" w:cs="宋体"/>
      <w:sz w:val="24"/>
    </w:rPr>
  </w:style>
  <w:style w:type="paragraph" w:styleId="1279" w:customStyle="1">
    <w:name w:val="正文_60_0"/>
    <w:uiPriority w:val="0"/>
    <w:qFormat/>
    <w:pPr>
      <w:jc w:val="both"/>
      <w:widowControl w:val="off"/>
    </w:pPr>
    <w:rPr>
      <w:rFonts w:ascii="Calibri" w:hAnsi="Calibri" w:eastAsia="宋体" w:cs="Times New Roman"/>
      <w:sz w:val="21"/>
      <w:szCs w:val="22"/>
      <w:lang w:val="en-US" w:eastAsia="zh-CN" w:bidi="ar-SA"/>
    </w:rPr>
  </w:style>
  <w:style w:type="numbering" w:styleId="156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周瑜霞（溧阳分公司）</cp:lastModifiedBy>
  <cp:revision>10</cp:revision>
  <dcterms:created xsi:type="dcterms:W3CDTF">2022-05-30T08:03:00Z</dcterms:created>
  <dcterms:modified xsi:type="dcterms:W3CDTF">2025-12-15T06:49:31Z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2B73DB35CA9940C09FBB938C7B6FDA48_13</vt:lpwstr>
  </property>
  <property fmtid="{D5CDD505-2E9C-101B-9397-08002B2CF9AE}" pid="4" name="KSOTemplateDocerSaveRecord">
    <vt:lpwstr>eyJoZGlkIjoiNTliNzRkYTg5NDJmMzJmZTljMjE2NGU5OTNiZDE4NTMiLCJ1c2VySWQiOiI0MDI0MDQzOTYifQ==</vt:lpwstr>
  </property>
</Properties>
</file>